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76F9" w:rsidRDefault="006776F9" w:rsidP="003402BC">
      <w:pPr>
        <w:pStyle w:val="NoSpacing"/>
        <w:rPr>
          <w:sz w:val="24"/>
          <w:szCs w:val="24"/>
          <w:lang w:val="it-IT"/>
        </w:rPr>
      </w:pPr>
    </w:p>
    <w:p w:rsidR="006340B2" w:rsidRDefault="006340B2" w:rsidP="00B361ED">
      <w:pPr>
        <w:jc w:val="center"/>
        <w:rPr>
          <w:rFonts w:ascii="Times New Roman" w:eastAsiaTheme="minorEastAsia" w:hAnsi="Times New Roman"/>
          <w:b/>
          <w:sz w:val="44"/>
          <w:szCs w:val="44"/>
        </w:rPr>
      </w:pPr>
    </w:p>
    <w:p w:rsidR="006340B2" w:rsidRDefault="006340B2" w:rsidP="00B361ED">
      <w:pPr>
        <w:jc w:val="center"/>
        <w:rPr>
          <w:rFonts w:ascii="Times New Roman" w:eastAsiaTheme="minorEastAsia" w:hAnsi="Times New Roman"/>
          <w:b/>
          <w:sz w:val="44"/>
          <w:szCs w:val="44"/>
        </w:rPr>
      </w:pPr>
    </w:p>
    <w:p w:rsidR="00B361ED" w:rsidRPr="00B361ED" w:rsidRDefault="00B361ED" w:rsidP="00B361ED">
      <w:pPr>
        <w:jc w:val="center"/>
        <w:rPr>
          <w:rFonts w:ascii="Times New Roman" w:eastAsiaTheme="minorEastAsia" w:hAnsi="Times New Roman"/>
          <w:b/>
          <w:sz w:val="44"/>
          <w:szCs w:val="44"/>
        </w:rPr>
      </w:pPr>
      <w:r w:rsidRPr="00B361ED">
        <w:rPr>
          <w:rFonts w:ascii="Times New Roman" w:eastAsiaTheme="minorEastAsia" w:hAnsi="Times New Roman"/>
          <w:b/>
          <w:sz w:val="44"/>
          <w:szCs w:val="44"/>
        </w:rPr>
        <w:t xml:space="preserve">IZVJEŠTAJ O RADU TO TIVAT   </w:t>
      </w:r>
    </w:p>
    <w:p w:rsidR="00B361ED" w:rsidRPr="00B361ED" w:rsidRDefault="00B361ED" w:rsidP="00B361ED">
      <w:pPr>
        <w:jc w:val="center"/>
        <w:rPr>
          <w:rFonts w:ascii="Times New Roman" w:eastAsiaTheme="minorEastAsia" w:hAnsi="Times New Roman"/>
          <w:b/>
          <w:sz w:val="44"/>
          <w:szCs w:val="44"/>
        </w:rPr>
      </w:pPr>
      <w:r w:rsidRPr="00B361ED">
        <w:rPr>
          <w:rFonts w:ascii="Times New Roman" w:eastAsiaTheme="minorEastAsia" w:hAnsi="Times New Roman"/>
          <w:b/>
          <w:sz w:val="44"/>
          <w:szCs w:val="44"/>
        </w:rPr>
        <w:t xml:space="preserve"> 2016</w:t>
      </w:r>
    </w:p>
    <w:p w:rsidR="008A2763" w:rsidRDefault="008A2763" w:rsidP="008A2763">
      <w:pPr>
        <w:pStyle w:val="NoSpacing"/>
        <w:ind w:left="360"/>
        <w:rPr>
          <w:b/>
          <w:lang w:val="it-IT"/>
        </w:rPr>
      </w:pPr>
    </w:p>
    <w:p w:rsidR="00B361ED" w:rsidRDefault="00B361ED" w:rsidP="008A2763">
      <w:pPr>
        <w:pStyle w:val="NoSpacing"/>
        <w:ind w:left="360"/>
        <w:rPr>
          <w:b/>
          <w:lang w:val="it-IT"/>
        </w:rPr>
      </w:pPr>
    </w:p>
    <w:p w:rsidR="00B361ED" w:rsidRDefault="00B361ED" w:rsidP="008A2763">
      <w:pPr>
        <w:pStyle w:val="NoSpacing"/>
        <w:ind w:left="360"/>
        <w:rPr>
          <w:b/>
          <w:lang w:val="it-IT"/>
        </w:rPr>
      </w:pPr>
    </w:p>
    <w:p w:rsidR="00B361ED" w:rsidRDefault="00B361ED" w:rsidP="008A2763">
      <w:pPr>
        <w:pStyle w:val="NoSpacing"/>
        <w:ind w:left="360"/>
        <w:rPr>
          <w:b/>
          <w:lang w:val="it-IT"/>
        </w:rPr>
      </w:pPr>
    </w:p>
    <w:p w:rsidR="00B361ED" w:rsidRDefault="00B361ED" w:rsidP="008A2763">
      <w:pPr>
        <w:pStyle w:val="NoSpacing"/>
        <w:ind w:left="360"/>
        <w:rPr>
          <w:b/>
          <w:lang w:val="it-IT"/>
        </w:rPr>
      </w:pPr>
    </w:p>
    <w:p w:rsidR="00B361ED" w:rsidRDefault="00B361ED" w:rsidP="008A2763">
      <w:pPr>
        <w:pStyle w:val="NoSpacing"/>
        <w:ind w:left="360"/>
        <w:rPr>
          <w:b/>
          <w:lang w:val="it-IT"/>
        </w:rPr>
      </w:pPr>
    </w:p>
    <w:p w:rsidR="00B361ED" w:rsidRDefault="00B361ED" w:rsidP="008A2763">
      <w:pPr>
        <w:pStyle w:val="NoSpacing"/>
        <w:ind w:left="360"/>
        <w:rPr>
          <w:b/>
          <w:lang w:val="it-IT"/>
        </w:rPr>
      </w:pPr>
    </w:p>
    <w:p w:rsidR="00B361ED" w:rsidRDefault="00B361ED" w:rsidP="008A2763">
      <w:pPr>
        <w:pStyle w:val="NoSpacing"/>
        <w:ind w:left="360"/>
        <w:rPr>
          <w:b/>
          <w:lang w:val="it-IT"/>
        </w:rPr>
      </w:pPr>
    </w:p>
    <w:p w:rsidR="00B361ED" w:rsidRDefault="00B361ED" w:rsidP="008A2763">
      <w:pPr>
        <w:pStyle w:val="NoSpacing"/>
        <w:ind w:left="360"/>
        <w:rPr>
          <w:b/>
          <w:lang w:val="it-IT"/>
        </w:rPr>
      </w:pPr>
    </w:p>
    <w:p w:rsidR="00B361ED" w:rsidRDefault="00B361ED" w:rsidP="008A2763">
      <w:pPr>
        <w:pStyle w:val="NoSpacing"/>
        <w:ind w:left="360"/>
        <w:rPr>
          <w:b/>
          <w:lang w:val="it-IT"/>
        </w:rPr>
      </w:pPr>
    </w:p>
    <w:p w:rsidR="00B361ED" w:rsidRDefault="00B361ED" w:rsidP="008A2763">
      <w:pPr>
        <w:pStyle w:val="NoSpacing"/>
        <w:ind w:left="360"/>
        <w:rPr>
          <w:b/>
          <w:lang w:val="it-IT"/>
        </w:rPr>
      </w:pPr>
    </w:p>
    <w:p w:rsidR="00B361ED" w:rsidRDefault="00B361ED" w:rsidP="008A2763">
      <w:pPr>
        <w:pStyle w:val="NoSpacing"/>
        <w:ind w:left="360"/>
        <w:rPr>
          <w:b/>
          <w:lang w:val="it-IT"/>
        </w:rPr>
      </w:pPr>
    </w:p>
    <w:p w:rsidR="00B361ED" w:rsidRDefault="00B361ED" w:rsidP="008A2763">
      <w:pPr>
        <w:pStyle w:val="NoSpacing"/>
        <w:ind w:left="360"/>
        <w:rPr>
          <w:b/>
          <w:lang w:val="it-IT"/>
        </w:rPr>
      </w:pPr>
    </w:p>
    <w:p w:rsidR="00B361ED" w:rsidRDefault="00B361ED" w:rsidP="008A2763">
      <w:pPr>
        <w:pStyle w:val="NoSpacing"/>
        <w:ind w:left="360"/>
        <w:rPr>
          <w:b/>
          <w:lang w:val="it-IT"/>
        </w:rPr>
      </w:pPr>
    </w:p>
    <w:p w:rsidR="00B361ED" w:rsidRDefault="00B361ED" w:rsidP="008A2763">
      <w:pPr>
        <w:pStyle w:val="NoSpacing"/>
        <w:ind w:left="360"/>
        <w:rPr>
          <w:b/>
          <w:lang w:val="it-IT"/>
        </w:rPr>
      </w:pPr>
    </w:p>
    <w:p w:rsidR="00B361ED" w:rsidRDefault="00B361ED" w:rsidP="008A2763">
      <w:pPr>
        <w:pStyle w:val="NoSpacing"/>
        <w:ind w:left="360"/>
        <w:rPr>
          <w:b/>
          <w:lang w:val="it-IT"/>
        </w:rPr>
      </w:pPr>
    </w:p>
    <w:p w:rsidR="00B361ED" w:rsidRDefault="00B361ED" w:rsidP="008A2763">
      <w:pPr>
        <w:pStyle w:val="NoSpacing"/>
        <w:ind w:left="360"/>
        <w:rPr>
          <w:b/>
          <w:lang w:val="it-IT"/>
        </w:rPr>
      </w:pPr>
    </w:p>
    <w:p w:rsidR="00B361ED" w:rsidRDefault="00B361ED" w:rsidP="008A2763">
      <w:pPr>
        <w:pStyle w:val="NoSpacing"/>
        <w:ind w:left="360"/>
        <w:rPr>
          <w:b/>
          <w:lang w:val="it-IT"/>
        </w:rPr>
      </w:pPr>
    </w:p>
    <w:p w:rsidR="00B361ED" w:rsidRDefault="00B361ED" w:rsidP="008A2763">
      <w:pPr>
        <w:pStyle w:val="NoSpacing"/>
        <w:ind w:left="360"/>
        <w:rPr>
          <w:b/>
          <w:lang w:val="it-IT"/>
        </w:rPr>
      </w:pPr>
    </w:p>
    <w:p w:rsidR="00B361ED" w:rsidRDefault="00B361ED" w:rsidP="008A2763">
      <w:pPr>
        <w:pStyle w:val="NoSpacing"/>
        <w:ind w:left="360"/>
        <w:rPr>
          <w:b/>
          <w:lang w:val="it-IT"/>
        </w:rPr>
      </w:pPr>
    </w:p>
    <w:p w:rsidR="00B361ED" w:rsidRDefault="00B361ED" w:rsidP="008A2763">
      <w:pPr>
        <w:pStyle w:val="NoSpacing"/>
        <w:ind w:left="360"/>
        <w:rPr>
          <w:b/>
          <w:lang w:val="it-IT"/>
        </w:rPr>
      </w:pPr>
    </w:p>
    <w:p w:rsidR="00B361ED" w:rsidRDefault="00B361ED" w:rsidP="008A2763">
      <w:pPr>
        <w:pStyle w:val="NoSpacing"/>
        <w:ind w:left="360"/>
        <w:rPr>
          <w:b/>
          <w:lang w:val="it-IT"/>
        </w:rPr>
      </w:pPr>
    </w:p>
    <w:p w:rsidR="00B361ED" w:rsidRDefault="00B361ED" w:rsidP="008A2763">
      <w:pPr>
        <w:pStyle w:val="NoSpacing"/>
        <w:ind w:left="360"/>
        <w:rPr>
          <w:b/>
          <w:lang w:val="it-IT"/>
        </w:rPr>
      </w:pPr>
    </w:p>
    <w:p w:rsidR="00B361ED" w:rsidRDefault="00B361ED" w:rsidP="008A2763">
      <w:pPr>
        <w:pStyle w:val="NoSpacing"/>
        <w:ind w:left="360"/>
        <w:rPr>
          <w:b/>
          <w:lang w:val="it-IT"/>
        </w:rPr>
      </w:pPr>
    </w:p>
    <w:p w:rsidR="00B361ED" w:rsidRDefault="00B361ED" w:rsidP="008A2763">
      <w:pPr>
        <w:pStyle w:val="NoSpacing"/>
        <w:ind w:left="360"/>
        <w:rPr>
          <w:b/>
          <w:lang w:val="it-IT"/>
        </w:rPr>
      </w:pP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 xml:space="preserve">Turistička organizacija opštine </w:t>
      </w:r>
      <w:proofErr w:type="gramStart"/>
      <w:r w:rsidRPr="00B361ED">
        <w:rPr>
          <w:rFonts w:ascii="Times New Roman" w:eastAsiaTheme="minorEastAsia" w:hAnsi="Times New Roman"/>
          <w:sz w:val="24"/>
          <w:szCs w:val="24"/>
        </w:rPr>
        <w:t>Tivat  u</w:t>
      </w:r>
      <w:proofErr w:type="gramEnd"/>
      <w:r w:rsidRPr="00B361ED">
        <w:rPr>
          <w:rFonts w:ascii="Times New Roman" w:eastAsiaTheme="minorEastAsia" w:hAnsi="Times New Roman"/>
          <w:sz w:val="24"/>
          <w:szCs w:val="24"/>
        </w:rPr>
        <w:t xml:space="preserve"> 2016. godini poslovala je u skladu sa strateškim ciljevima razvoja turizma u Tivtu i to:</w:t>
      </w:r>
    </w:p>
    <w:p w:rsidR="00B361ED" w:rsidRPr="00B361ED" w:rsidRDefault="00B361ED" w:rsidP="00B361ED">
      <w:pPr>
        <w:numPr>
          <w:ilvl w:val="0"/>
          <w:numId w:val="5"/>
        </w:numPr>
        <w:contextualSpacing/>
        <w:jc w:val="both"/>
        <w:rPr>
          <w:rFonts w:ascii="Times New Roman" w:eastAsiaTheme="minorEastAsia" w:hAnsi="Times New Roman"/>
          <w:sz w:val="24"/>
          <w:szCs w:val="24"/>
        </w:rPr>
      </w:pPr>
      <w:r w:rsidRPr="00B361ED">
        <w:rPr>
          <w:rFonts w:ascii="Times New Roman" w:eastAsiaTheme="minorEastAsia" w:hAnsi="Times New Roman"/>
          <w:sz w:val="24"/>
          <w:szCs w:val="24"/>
        </w:rPr>
        <w:t>nastavak pozicioniranja Tivta kao visokokvalitetne turističke destinacije u svim segmentima ponude s naglaskom na održivi razvoj</w:t>
      </w:r>
      <w:r w:rsidR="00900D58">
        <w:rPr>
          <w:rFonts w:ascii="Times New Roman" w:eastAsiaTheme="minorEastAsia" w:hAnsi="Times New Roman"/>
          <w:sz w:val="24"/>
          <w:szCs w:val="24"/>
        </w:rPr>
        <w:t>.</w:t>
      </w:r>
      <w:r w:rsidRPr="00B361ED">
        <w:rPr>
          <w:rFonts w:ascii="Times New Roman" w:eastAsiaTheme="minorEastAsia" w:hAnsi="Times New Roman"/>
          <w:sz w:val="24"/>
          <w:szCs w:val="24"/>
        </w:rPr>
        <w:t xml:space="preserve">  </w:t>
      </w:r>
    </w:p>
    <w:p w:rsidR="00B361ED" w:rsidRPr="00B361ED" w:rsidRDefault="00B361ED" w:rsidP="00B361ED">
      <w:pPr>
        <w:numPr>
          <w:ilvl w:val="0"/>
          <w:numId w:val="5"/>
        </w:numPr>
        <w:contextualSpacing/>
        <w:jc w:val="both"/>
        <w:rPr>
          <w:rFonts w:ascii="Times New Roman" w:eastAsiaTheme="minorEastAsia" w:hAnsi="Times New Roman"/>
          <w:sz w:val="24"/>
          <w:szCs w:val="24"/>
        </w:rPr>
      </w:pPr>
      <w:r w:rsidRPr="00B361ED">
        <w:rPr>
          <w:rFonts w:ascii="Times New Roman" w:eastAsiaTheme="minorEastAsia" w:hAnsi="Times New Roman"/>
          <w:sz w:val="24"/>
          <w:szCs w:val="24"/>
        </w:rPr>
        <w:t>promovisane su izvorne vrijednosti područja opštine i njenih mikroregija u saradnji sa turističkom i ugostiteljskom privredom grada</w:t>
      </w:r>
    </w:p>
    <w:p w:rsidR="00B361ED" w:rsidRPr="00B361ED" w:rsidRDefault="00B361ED" w:rsidP="00B361ED">
      <w:pPr>
        <w:numPr>
          <w:ilvl w:val="0"/>
          <w:numId w:val="5"/>
        </w:numPr>
        <w:contextualSpacing/>
        <w:jc w:val="both"/>
        <w:rPr>
          <w:rFonts w:ascii="Times New Roman" w:eastAsiaTheme="minorEastAsia" w:hAnsi="Times New Roman"/>
          <w:sz w:val="24"/>
          <w:szCs w:val="24"/>
        </w:rPr>
      </w:pPr>
      <w:r w:rsidRPr="00B361ED">
        <w:rPr>
          <w:rFonts w:ascii="Times New Roman" w:eastAsiaTheme="minorEastAsia" w:hAnsi="Times New Roman"/>
          <w:sz w:val="24"/>
          <w:szCs w:val="24"/>
        </w:rPr>
        <w:t>afirmacija procesa korištenja online tehnologija</w:t>
      </w:r>
    </w:p>
    <w:p w:rsidR="00B361ED" w:rsidRPr="00B361ED" w:rsidRDefault="00B361ED" w:rsidP="00B361ED">
      <w:pPr>
        <w:numPr>
          <w:ilvl w:val="0"/>
          <w:numId w:val="5"/>
        </w:numPr>
        <w:contextualSpacing/>
        <w:jc w:val="both"/>
        <w:rPr>
          <w:rFonts w:ascii="Times New Roman" w:eastAsiaTheme="minorEastAsia" w:hAnsi="Times New Roman"/>
          <w:sz w:val="24"/>
          <w:szCs w:val="24"/>
        </w:rPr>
      </w:pPr>
      <w:r w:rsidRPr="00B361ED">
        <w:rPr>
          <w:rFonts w:ascii="Times New Roman" w:eastAsiaTheme="minorEastAsia" w:hAnsi="Times New Roman"/>
          <w:sz w:val="24"/>
          <w:szCs w:val="24"/>
        </w:rPr>
        <w:t>koordinacija sa ostalim LTO primorja</w:t>
      </w:r>
    </w:p>
    <w:p w:rsidR="00B361ED" w:rsidRPr="00B361ED" w:rsidRDefault="00B361ED" w:rsidP="00B361ED">
      <w:pPr>
        <w:numPr>
          <w:ilvl w:val="0"/>
          <w:numId w:val="5"/>
        </w:numPr>
        <w:contextualSpacing/>
        <w:jc w:val="both"/>
        <w:rPr>
          <w:rFonts w:ascii="Times New Roman" w:eastAsiaTheme="minorEastAsia" w:hAnsi="Times New Roman"/>
          <w:sz w:val="24"/>
          <w:szCs w:val="24"/>
        </w:rPr>
      </w:pPr>
      <w:r w:rsidRPr="00B361ED">
        <w:rPr>
          <w:rFonts w:ascii="Times New Roman" w:eastAsiaTheme="minorEastAsia" w:hAnsi="Times New Roman"/>
          <w:sz w:val="24"/>
          <w:szCs w:val="24"/>
        </w:rPr>
        <w:t>unapre</w:t>
      </w:r>
      <w:r w:rsidR="001B0B7F">
        <w:rPr>
          <w:rFonts w:ascii="Times New Roman" w:eastAsiaTheme="minorEastAsia" w:hAnsi="Times New Roman"/>
          <w:sz w:val="24"/>
          <w:szCs w:val="24"/>
          <w:lang w:val="en-GB"/>
        </w:rPr>
        <w:t>đenje i</w:t>
      </w:r>
      <w:r w:rsidRPr="00B361ED">
        <w:rPr>
          <w:rFonts w:ascii="Times New Roman" w:eastAsiaTheme="minorEastAsia" w:hAnsi="Times New Roman"/>
          <w:sz w:val="24"/>
          <w:szCs w:val="24"/>
          <w:lang w:val="en-GB"/>
        </w:rPr>
        <w:t xml:space="preserve"> promocija izvornih vrijednosti područja opštine</w:t>
      </w:r>
    </w:p>
    <w:p w:rsidR="00B361ED" w:rsidRPr="00B361ED" w:rsidRDefault="00B361ED" w:rsidP="00B361ED">
      <w:pPr>
        <w:numPr>
          <w:ilvl w:val="0"/>
          <w:numId w:val="5"/>
        </w:numPr>
        <w:contextualSpacing/>
        <w:jc w:val="both"/>
        <w:rPr>
          <w:rFonts w:ascii="Times New Roman" w:eastAsiaTheme="minorEastAsia" w:hAnsi="Times New Roman"/>
          <w:sz w:val="24"/>
          <w:szCs w:val="24"/>
        </w:rPr>
      </w:pPr>
      <w:r w:rsidRPr="00B361ED">
        <w:rPr>
          <w:rFonts w:ascii="Times New Roman" w:eastAsiaTheme="minorEastAsia" w:hAnsi="Times New Roman"/>
          <w:sz w:val="24"/>
          <w:szCs w:val="24"/>
          <w:lang w:val="en-GB"/>
        </w:rPr>
        <w:t>podsticanje</w:t>
      </w:r>
      <w:r w:rsidR="001B0B7F">
        <w:rPr>
          <w:rFonts w:ascii="Times New Roman" w:eastAsiaTheme="minorEastAsia" w:hAnsi="Times New Roman"/>
          <w:sz w:val="24"/>
          <w:szCs w:val="24"/>
          <w:lang w:val="en-GB"/>
        </w:rPr>
        <w:t>, koordinisanje i</w:t>
      </w:r>
      <w:r w:rsidRPr="00B361ED">
        <w:rPr>
          <w:rFonts w:ascii="Times New Roman" w:eastAsiaTheme="minorEastAsia" w:hAnsi="Times New Roman"/>
          <w:sz w:val="24"/>
          <w:szCs w:val="24"/>
          <w:lang w:val="en-GB"/>
        </w:rPr>
        <w:t xml:space="preserve"> organizovanje ku</w:t>
      </w:r>
      <w:r w:rsidR="001B0B7F">
        <w:rPr>
          <w:rFonts w:ascii="Times New Roman" w:eastAsiaTheme="minorEastAsia" w:hAnsi="Times New Roman"/>
          <w:sz w:val="24"/>
          <w:szCs w:val="24"/>
          <w:lang w:val="en-GB"/>
        </w:rPr>
        <w:t>lturnih, umjetničkih, zabavnih i</w:t>
      </w:r>
      <w:r w:rsidRPr="00B361ED">
        <w:rPr>
          <w:rFonts w:ascii="Times New Roman" w:eastAsiaTheme="minorEastAsia" w:hAnsi="Times New Roman"/>
          <w:sz w:val="24"/>
          <w:szCs w:val="24"/>
          <w:lang w:val="en-GB"/>
        </w:rPr>
        <w:t xml:space="preserve"> drugih manifestacija koje doprinose obogaćivanju turištičke ponude grada</w:t>
      </w:r>
    </w:p>
    <w:p w:rsidR="00B361ED" w:rsidRPr="00B361ED" w:rsidRDefault="001B0B7F" w:rsidP="00B361ED">
      <w:pPr>
        <w:numPr>
          <w:ilvl w:val="0"/>
          <w:numId w:val="5"/>
        </w:numPr>
        <w:contextualSpacing/>
        <w:jc w:val="both"/>
        <w:rPr>
          <w:rFonts w:ascii="Times New Roman" w:eastAsiaTheme="minorEastAsia" w:hAnsi="Times New Roman"/>
          <w:sz w:val="24"/>
          <w:szCs w:val="24"/>
        </w:rPr>
      </w:pPr>
      <w:r>
        <w:rPr>
          <w:rFonts w:ascii="Times New Roman" w:eastAsiaTheme="minorEastAsia" w:hAnsi="Times New Roman"/>
          <w:sz w:val="24"/>
          <w:szCs w:val="24"/>
          <w:lang w:val="en-GB"/>
        </w:rPr>
        <w:t>pružanje servisnih usluga i</w:t>
      </w:r>
      <w:r w:rsidR="00B361ED" w:rsidRPr="00B361ED">
        <w:rPr>
          <w:rFonts w:ascii="Times New Roman" w:eastAsiaTheme="minorEastAsia" w:hAnsi="Times New Roman"/>
          <w:sz w:val="24"/>
          <w:szCs w:val="24"/>
          <w:lang w:val="en-GB"/>
        </w:rPr>
        <w:t xml:space="preserve"> drugih informacija klijentima</w:t>
      </w:r>
    </w:p>
    <w:p w:rsidR="00B361ED" w:rsidRPr="00B361ED" w:rsidRDefault="001B0B7F" w:rsidP="00B361ED">
      <w:pPr>
        <w:numPr>
          <w:ilvl w:val="0"/>
          <w:numId w:val="5"/>
        </w:numPr>
        <w:contextualSpacing/>
        <w:jc w:val="both"/>
        <w:rPr>
          <w:rFonts w:ascii="Times New Roman" w:eastAsiaTheme="minorEastAsia" w:hAnsi="Times New Roman"/>
          <w:sz w:val="24"/>
          <w:szCs w:val="24"/>
        </w:rPr>
      </w:pPr>
      <w:r>
        <w:rPr>
          <w:rFonts w:ascii="Times New Roman" w:eastAsiaTheme="minorEastAsia" w:hAnsi="Times New Roman"/>
          <w:sz w:val="24"/>
          <w:szCs w:val="24"/>
          <w:lang w:val="en-GB"/>
        </w:rPr>
        <w:t>praćenje turističkog prometa i</w:t>
      </w:r>
      <w:r w:rsidR="00B361ED" w:rsidRPr="00B361ED">
        <w:rPr>
          <w:rFonts w:ascii="Times New Roman" w:eastAsiaTheme="minorEastAsia" w:hAnsi="Times New Roman"/>
          <w:sz w:val="24"/>
          <w:szCs w:val="24"/>
          <w:lang w:val="en-GB"/>
        </w:rPr>
        <w:t xml:space="preserve"> sprovođenje anketnog istraživanja</w:t>
      </w:r>
    </w:p>
    <w:p w:rsidR="00B361ED" w:rsidRPr="00B361ED" w:rsidRDefault="00B361ED" w:rsidP="00B361ED">
      <w:pPr>
        <w:numPr>
          <w:ilvl w:val="0"/>
          <w:numId w:val="5"/>
        </w:numPr>
        <w:contextualSpacing/>
        <w:jc w:val="both"/>
        <w:rPr>
          <w:rFonts w:ascii="Times New Roman" w:eastAsiaTheme="minorEastAsia" w:hAnsi="Times New Roman"/>
          <w:sz w:val="24"/>
          <w:szCs w:val="24"/>
        </w:rPr>
      </w:pPr>
      <w:r w:rsidRPr="00B361ED">
        <w:rPr>
          <w:rFonts w:ascii="Times New Roman" w:eastAsiaTheme="minorEastAsia" w:hAnsi="Times New Roman"/>
          <w:sz w:val="24"/>
          <w:szCs w:val="24"/>
        </w:rPr>
        <w:t xml:space="preserve">kao i </w:t>
      </w:r>
      <w:proofErr w:type="gramStart"/>
      <w:r w:rsidRPr="00B361ED">
        <w:rPr>
          <w:rFonts w:ascii="Times New Roman" w:eastAsiaTheme="minorEastAsia" w:hAnsi="Times New Roman"/>
          <w:sz w:val="24"/>
          <w:szCs w:val="24"/>
        </w:rPr>
        <w:t>drugim  aktivnostima</w:t>
      </w:r>
      <w:proofErr w:type="gramEnd"/>
      <w:r w:rsidRPr="00B361ED">
        <w:rPr>
          <w:rFonts w:ascii="Times New Roman" w:eastAsiaTheme="minorEastAsia" w:hAnsi="Times New Roman"/>
          <w:sz w:val="24"/>
          <w:szCs w:val="24"/>
        </w:rPr>
        <w:t xml:space="preserve"> koje su doprinijele ostvarivanju programa rada. </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Preduzete su sve mjere da se plan blagovremeno, dosljedno i cjelovito realizuje tokom 2016-te godine.</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Turistička organizacija posluje u poslovnom prostoru koji je vlasništvo lokalne uprave, a tokom ljeta u biroima koji su takođe vlasništvo opštine.</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Organizacija koristi osnovna sredstva koja su dosta amortizovana, pa se trudilo da se svake godine obnovi bar dio opreme.</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U toku 2016-te godine u Turističkoj organizacija opštine Tivat radili su:</w:t>
      </w:r>
    </w:p>
    <w:p w:rsidR="00B361ED" w:rsidRPr="00B361ED" w:rsidRDefault="00B361ED" w:rsidP="00B361ED">
      <w:pPr>
        <w:numPr>
          <w:ilvl w:val="0"/>
          <w:numId w:val="5"/>
        </w:numPr>
        <w:contextualSpacing/>
        <w:jc w:val="both"/>
        <w:rPr>
          <w:rFonts w:ascii="Times New Roman" w:eastAsiaTheme="minorEastAsia" w:hAnsi="Times New Roman"/>
          <w:sz w:val="24"/>
          <w:szCs w:val="24"/>
        </w:rPr>
      </w:pPr>
      <w:r w:rsidRPr="00B361ED">
        <w:rPr>
          <w:rFonts w:ascii="Times New Roman" w:eastAsiaTheme="minorEastAsia" w:hAnsi="Times New Roman"/>
          <w:sz w:val="24"/>
          <w:szCs w:val="24"/>
        </w:rPr>
        <w:t>direktor, po ugovoru na 4 godine</w:t>
      </w:r>
    </w:p>
    <w:p w:rsidR="00B361ED" w:rsidRPr="00B361ED" w:rsidRDefault="00B361ED" w:rsidP="00B361ED">
      <w:pPr>
        <w:ind w:left="720"/>
        <w:contextualSpacing/>
        <w:jc w:val="both"/>
        <w:rPr>
          <w:rFonts w:ascii="Times New Roman" w:eastAsiaTheme="minorEastAsia" w:hAnsi="Times New Roman"/>
          <w:sz w:val="24"/>
          <w:szCs w:val="24"/>
        </w:rPr>
      </w:pPr>
      <w:r w:rsidRPr="00B361ED">
        <w:rPr>
          <w:rFonts w:ascii="Times New Roman" w:eastAsiaTheme="minorEastAsia" w:hAnsi="Times New Roman"/>
          <w:sz w:val="24"/>
          <w:szCs w:val="24"/>
        </w:rPr>
        <w:t>sa razrješenjem ranije direktorice prije navršenog mandata (koja će se sledećih godinu dana voditi po odluci I.O. na platnom spisku po posle</w:t>
      </w:r>
      <w:r w:rsidR="001B0B7F">
        <w:rPr>
          <w:rFonts w:ascii="Times New Roman" w:eastAsiaTheme="minorEastAsia" w:hAnsi="Times New Roman"/>
          <w:sz w:val="24"/>
          <w:szCs w:val="24"/>
        </w:rPr>
        <w:t>dnjoj plati radnog angažovanja i</w:t>
      </w:r>
      <w:r w:rsidRPr="00B361ED">
        <w:rPr>
          <w:rFonts w:ascii="Times New Roman" w:eastAsiaTheme="minorEastAsia" w:hAnsi="Times New Roman"/>
          <w:sz w:val="24"/>
          <w:szCs w:val="24"/>
        </w:rPr>
        <w:t xml:space="preserve"> dolaskom nove direktorice po mandatu ugovora od 4 godine) od datuma 29.09.2016 god.</w:t>
      </w:r>
    </w:p>
    <w:p w:rsidR="00B361ED" w:rsidRPr="00B361ED" w:rsidRDefault="00B361ED" w:rsidP="00B361ED">
      <w:pPr>
        <w:numPr>
          <w:ilvl w:val="0"/>
          <w:numId w:val="5"/>
        </w:numPr>
        <w:contextualSpacing/>
        <w:jc w:val="both"/>
        <w:rPr>
          <w:rFonts w:ascii="Times New Roman" w:eastAsiaTheme="minorEastAsia" w:hAnsi="Times New Roman"/>
          <w:sz w:val="24"/>
          <w:szCs w:val="24"/>
        </w:rPr>
      </w:pPr>
      <w:r w:rsidRPr="00B361ED">
        <w:rPr>
          <w:rFonts w:ascii="Times New Roman" w:eastAsiaTheme="minorEastAsia" w:hAnsi="Times New Roman"/>
          <w:sz w:val="24"/>
          <w:szCs w:val="24"/>
        </w:rPr>
        <w:t xml:space="preserve">6 radnika na neodređeno vrijeme / 1 na trudničko do 2018-te </w:t>
      </w:r>
      <w:proofErr w:type="gramStart"/>
      <w:r w:rsidRPr="00B361ED">
        <w:rPr>
          <w:rFonts w:ascii="Times New Roman" w:eastAsiaTheme="minorEastAsia" w:hAnsi="Times New Roman"/>
          <w:sz w:val="24"/>
          <w:szCs w:val="24"/>
        </w:rPr>
        <w:t>god./</w:t>
      </w:r>
      <w:proofErr w:type="gramEnd"/>
    </w:p>
    <w:p w:rsidR="00B361ED" w:rsidRPr="00B361ED" w:rsidRDefault="00B361ED" w:rsidP="00B361ED">
      <w:pPr>
        <w:numPr>
          <w:ilvl w:val="0"/>
          <w:numId w:val="5"/>
        </w:numPr>
        <w:contextualSpacing/>
        <w:jc w:val="both"/>
        <w:rPr>
          <w:rFonts w:ascii="Times New Roman" w:eastAsiaTheme="minorEastAsia" w:hAnsi="Times New Roman"/>
          <w:sz w:val="24"/>
          <w:szCs w:val="24"/>
        </w:rPr>
      </w:pPr>
      <w:r w:rsidRPr="00B361ED">
        <w:rPr>
          <w:rFonts w:ascii="Times New Roman" w:eastAsiaTheme="minorEastAsia" w:hAnsi="Times New Roman"/>
          <w:sz w:val="24"/>
          <w:szCs w:val="24"/>
        </w:rPr>
        <w:t>3 radnika na određeno vrijeme</w:t>
      </w:r>
    </w:p>
    <w:p w:rsidR="00B361ED" w:rsidRPr="00B361ED" w:rsidRDefault="00B361ED" w:rsidP="00B361ED">
      <w:pPr>
        <w:numPr>
          <w:ilvl w:val="0"/>
          <w:numId w:val="5"/>
        </w:numPr>
        <w:contextualSpacing/>
        <w:jc w:val="both"/>
        <w:rPr>
          <w:rFonts w:ascii="Times New Roman" w:eastAsiaTheme="minorEastAsia" w:hAnsi="Times New Roman"/>
          <w:sz w:val="24"/>
          <w:szCs w:val="24"/>
        </w:rPr>
      </w:pPr>
      <w:r w:rsidRPr="00B361ED">
        <w:rPr>
          <w:rFonts w:ascii="Times New Roman" w:eastAsiaTheme="minorEastAsia" w:hAnsi="Times New Roman"/>
          <w:sz w:val="24"/>
          <w:szCs w:val="24"/>
        </w:rPr>
        <w:t>11 sezonskih radnika na poslovima prijave boravka - informatora</w:t>
      </w:r>
    </w:p>
    <w:p w:rsidR="00B361ED" w:rsidRPr="00B361ED" w:rsidRDefault="00B361ED" w:rsidP="00B361ED">
      <w:pPr>
        <w:numPr>
          <w:ilvl w:val="0"/>
          <w:numId w:val="5"/>
        </w:numPr>
        <w:contextualSpacing/>
        <w:jc w:val="both"/>
        <w:rPr>
          <w:rFonts w:ascii="Times New Roman" w:eastAsiaTheme="minorEastAsia" w:hAnsi="Times New Roman"/>
          <w:sz w:val="24"/>
          <w:szCs w:val="24"/>
        </w:rPr>
      </w:pPr>
      <w:r w:rsidRPr="00B361ED">
        <w:rPr>
          <w:rFonts w:ascii="Times New Roman" w:eastAsiaTheme="minorEastAsia" w:hAnsi="Times New Roman"/>
          <w:sz w:val="24"/>
          <w:szCs w:val="24"/>
        </w:rPr>
        <w:lastRenderedPageBreak/>
        <w:t>3 anketara</w:t>
      </w:r>
    </w:p>
    <w:p w:rsidR="00B361ED" w:rsidRPr="00B361ED" w:rsidRDefault="00B361ED" w:rsidP="00B361ED">
      <w:pPr>
        <w:numPr>
          <w:ilvl w:val="0"/>
          <w:numId w:val="5"/>
        </w:numPr>
        <w:contextualSpacing/>
        <w:jc w:val="both"/>
        <w:rPr>
          <w:rFonts w:ascii="Times New Roman" w:eastAsiaTheme="minorEastAsia" w:hAnsi="Times New Roman"/>
          <w:sz w:val="24"/>
          <w:szCs w:val="24"/>
        </w:rPr>
      </w:pPr>
      <w:r w:rsidRPr="00B361ED">
        <w:rPr>
          <w:rFonts w:ascii="Times New Roman" w:eastAsiaTheme="minorEastAsia" w:hAnsi="Times New Roman"/>
          <w:sz w:val="24"/>
          <w:szCs w:val="24"/>
        </w:rPr>
        <w:t>2 naplatioca b.t. na terenu</w:t>
      </w:r>
    </w:p>
    <w:p w:rsidR="00B361ED" w:rsidRPr="00B361ED" w:rsidRDefault="00B361ED" w:rsidP="00B361ED">
      <w:pPr>
        <w:numPr>
          <w:ilvl w:val="0"/>
          <w:numId w:val="5"/>
        </w:numPr>
        <w:contextualSpacing/>
        <w:jc w:val="both"/>
        <w:rPr>
          <w:rFonts w:ascii="Times New Roman" w:eastAsiaTheme="minorEastAsia" w:hAnsi="Times New Roman"/>
          <w:sz w:val="24"/>
          <w:szCs w:val="24"/>
        </w:rPr>
      </w:pPr>
      <w:r w:rsidRPr="00B361ED">
        <w:rPr>
          <w:rFonts w:ascii="Times New Roman" w:eastAsiaTheme="minorEastAsia" w:hAnsi="Times New Roman"/>
          <w:sz w:val="24"/>
          <w:szCs w:val="24"/>
        </w:rPr>
        <w:t>4 visokoškolca na stručnom osposobljavanju (od čega je jedan asistent u radu)</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 xml:space="preserve">Zaposleni na neodređeno vrijeme su po obrazovanju: 5 sa visokom </w:t>
      </w:r>
      <w:proofErr w:type="gramStart"/>
      <w:r w:rsidRPr="00B361ED">
        <w:rPr>
          <w:rFonts w:ascii="Times New Roman" w:eastAsiaTheme="minorEastAsia" w:hAnsi="Times New Roman"/>
          <w:sz w:val="24"/>
          <w:szCs w:val="24"/>
        </w:rPr>
        <w:t>str.spremom</w:t>
      </w:r>
      <w:proofErr w:type="gramEnd"/>
      <w:r w:rsidRPr="00B361ED">
        <w:rPr>
          <w:rFonts w:ascii="Times New Roman" w:eastAsiaTheme="minorEastAsia" w:hAnsi="Times New Roman"/>
          <w:sz w:val="24"/>
          <w:szCs w:val="24"/>
        </w:rPr>
        <w:t xml:space="preserve">  i 1 sa srednjom str.spremom i njihova prosječna neto plata sa minulim radom u 2016-toj godini iznosila je 553, 38 eur. Jednom radniku ZZZCG nadoknađuje 75% zarade.</w:t>
      </w:r>
    </w:p>
    <w:p w:rsidR="00B361ED" w:rsidRPr="00B361ED" w:rsidRDefault="00B361ED" w:rsidP="00B361ED">
      <w:pPr>
        <w:jc w:val="both"/>
        <w:rPr>
          <w:rFonts w:ascii="Times New Roman" w:eastAsiaTheme="minorEastAsia" w:hAnsi="Times New Roman"/>
          <w:sz w:val="24"/>
          <w:szCs w:val="24"/>
        </w:rPr>
      </w:pPr>
    </w:p>
    <w:p w:rsidR="00B361ED" w:rsidRPr="00B361ED" w:rsidRDefault="00B361ED" w:rsidP="00B361ED">
      <w:pPr>
        <w:jc w:val="both"/>
        <w:rPr>
          <w:rFonts w:ascii="Times New Roman" w:eastAsiaTheme="minorEastAsia" w:hAnsi="Times New Roman"/>
          <w:b/>
          <w:sz w:val="24"/>
          <w:szCs w:val="24"/>
        </w:rPr>
      </w:pPr>
      <w:r w:rsidRPr="00B361ED">
        <w:rPr>
          <w:rFonts w:ascii="Times New Roman" w:eastAsiaTheme="minorEastAsia" w:hAnsi="Times New Roman"/>
          <w:b/>
          <w:sz w:val="24"/>
          <w:szCs w:val="24"/>
        </w:rPr>
        <w:t>Januar – april</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TO Tivat učestvovala je na svim sajmovima koje je predvidjela Planom i programom rada za 2016-tu godinu i to na zajedničkim štandovima sa NTO ili sa LTO primorja. Na sajmovima na kojima se nije učestvovalo, participiralo se sa propagandnim materijalom.</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01.01.2016. god. je bilo ostvareno povećanje cijene boravišne takse na teritoriji Opštine Tivat sa 0,70 na 0,90 eura što je povećanje za 28,57 %, a T.O.T je ostvarila povećanje u naplati na terenu do 40%, a kod pravnih lica do 65%.</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15.01.2016. organizaciji su se pridružila četiri visokoškolca na stručnom osposobljavanju po programu Vlade Crne Gore, s tim što je jedan svoje stručno osposobljavanje nastavio da obavlja kroz anga</w:t>
      </w:r>
      <w:r w:rsidRPr="00B361ED">
        <w:rPr>
          <w:rFonts w:ascii="Times New Roman" w:eastAsiaTheme="minorEastAsia" w:hAnsi="Times New Roman"/>
          <w:sz w:val="24"/>
          <w:szCs w:val="24"/>
          <w:lang w:val="en-GB"/>
        </w:rPr>
        <w:t xml:space="preserve">žovanje </w:t>
      </w:r>
      <w:r w:rsidRPr="00B361ED">
        <w:rPr>
          <w:rFonts w:ascii="Times New Roman" w:eastAsiaTheme="minorEastAsia" w:hAnsi="Times New Roman"/>
          <w:sz w:val="24"/>
          <w:szCs w:val="24"/>
        </w:rPr>
        <w:t>u okviru Opštine.</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Dana 03.02.2016, god. na “Dan močvarnih staništa” T.O.T pomogla je opremanje punkta na Solilima, radi omogućavanja lakšeg rada zaposlenima u ovom informativnom centru JP Morsko dobro I CZIP.</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 xml:space="preserve">Dana 05.02.2016. god. proslavilo se sa svojim poslovnim partnerima, radnicima I gostima 11 godina od konstitutivne sjednice Skupštine TO Tivat u restoranu “Druga priča”. </w:t>
      </w:r>
    </w:p>
    <w:p w:rsidR="00B361ED" w:rsidRPr="00B361ED" w:rsidRDefault="00B361ED" w:rsidP="00B361ED">
      <w:pPr>
        <w:jc w:val="both"/>
        <w:rPr>
          <w:rFonts w:ascii="Times New Roman" w:eastAsiaTheme="minorEastAsia" w:hAnsi="Times New Roman"/>
          <w:b/>
          <w:sz w:val="24"/>
          <w:szCs w:val="24"/>
        </w:rPr>
      </w:pPr>
    </w:p>
    <w:p w:rsidR="00B361ED" w:rsidRPr="00B361ED" w:rsidRDefault="00B361ED" w:rsidP="00B361ED">
      <w:pPr>
        <w:jc w:val="both"/>
        <w:rPr>
          <w:rFonts w:ascii="Times New Roman" w:eastAsiaTheme="minorEastAsia" w:hAnsi="Times New Roman"/>
          <w:b/>
          <w:sz w:val="24"/>
          <w:szCs w:val="24"/>
        </w:rPr>
      </w:pPr>
      <w:r w:rsidRPr="00B361ED">
        <w:rPr>
          <w:rFonts w:ascii="Times New Roman" w:eastAsiaTheme="minorEastAsia" w:hAnsi="Times New Roman"/>
          <w:b/>
          <w:sz w:val="24"/>
          <w:szCs w:val="24"/>
        </w:rPr>
        <w:t>Maj – jun</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Dana 10.05.2016. god. pristupilo se obilježavanju “Dan ptica I drveća” I “Dan tjelesnih aktivnosti”, gdje se zajedno sa profesorom fizičke kulture poslala poruku o zdravom životu.</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lastRenderedPageBreak/>
        <w:t>Povodom dana državnosti 20.05.2016 godine upr</w:t>
      </w:r>
      <w:r w:rsidR="00E62E81">
        <w:rPr>
          <w:rFonts w:ascii="Times New Roman" w:eastAsiaTheme="minorEastAsia" w:hAnsi="Times New Roman"/>
          <w:sz w:val="24"/>
          <w:szCs w:val="24"/>
        </w:rPr>
        <w:t>i</w:t>
      </w:r>
      <w:r w:rsidRPr="00B361ED">
        <w:rPr>
          <w:rFonts w:ascii="Times New Roman" w:eastAsiaTheme="minorEastAsia" w:hAnsi="Times New Roman"/>
          <w:sz w:val="24"/>
          <w:szCs w:val="24"/>
        </w:rPr>
        <w:t>ličen je koncert na rivi pod nazivom “Noć u crvenom”, na kojoj je nastupila grupa “Crveno I crno”.</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 xml:space="preserve">Dana 22.04. započela je </w:t>
      </w:r>
      <w:proofErr w:type="gramStart"/>
      <w:r w:rsidRPr="00B361ED">
        <w:rPr>
          <w:rFonts w:ascii="Times New Roman" w:eastAsiaTheme="minorEastAsia" w:hAnsi="Times New Roman"/>
          <w:sz w:val="24"/>
          <w:szCs w:val="24"/>
        </w:rPr>
        <w:t>akcija ,,Dani</w:t>
      </w:r>
      <w:proofErr w:type="gramEnd"/>
      <w:r w:rsidRPr="00B361ED">
        <w:rPr>
          <w:rFonts w:ascii="Times New Roman" w:eastAsiaTheme="minorEastAsia" w:hAnsi="Times New Roman"/>
          <w:sz w:val="24"/>
          <w:szCs w:val="24"/>
        </w:rPr>
        <w:t xml:space="preserve"> magnolije”, tradicionalna manifestacija kroz koju TO Tivat daje značaj zaštiti životne sredine i podstiče građane da učine grad mjestom ugodnim za boravak gostiju. Nagrade su dodijeljene 10.06. u ba</w:t>
      </w:r>
      <w:r w:rsidRPr="00B361ED">
        <w:rPr>
          <w:rFonts w:ascii="Times New Roman" w:eastAsiaTheme="minorEastAsia" w:hAnsi="Times New Roman"/>
          <w:sz w:val="24"/>
          <w:szCs w:val="24"/>
          <w:lang w:val="en-GB"/>
        </w:rPr>
        <w:t xml:space="preserve">šti </w:t>
      </w:r>
      <w:proofErr w:type="gramStart"/>
      <w:r w:rsidRPr="00B361ED">
        <w:rPr>
          <w:rFonts w:ascii="Times New Roman" w:eastAsiaTheme="minorEastAsia" w:hAnsi="Times New Roman"/>
          <w:sz w:val="24"/>
          <w:szCs w:val="24"/>
        </w:rPr>
        <w:t>hotelu ,,Kamelija</w:t>
      </w:r>
      <w:proofErr w:type="gramEnd"/>
      <w:r w:rsidRPr="00B361ED">
        <w:rPr>
          <w:rFonts w:ascii="Times New Roman" w:eastAsiaTheme="minorEastAsia" w:hAnsi="Times New Roman"/>
          <w:sz w:val="24"/>
          <w:szCs w:val="24"/>
        </w:rPr>
        <w:t>”. Povodom ove manifestacije, a u okviru “Dana zaštite sredine” zasađeno je stablo ispred biroa na autobuskoj stanici.</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Već početkom maja mjeseca Turistička organizacija je imala gotov plan Tivatskih ljetnjih fešti “Vodič kroz manifestacije”, kojeg je plasirala kako po Tivatskim hotelima, restoranima, info punktovima sa štampom od ukupno 6000 primjeraka, tako I po zemljama regi</w:t>
      </w:r>
      <w:r w:rsidR="001B0B7F">
        <w:rPr>
          <w:rFonts w:ascii="Times New Roman" w:eastAsiaTheme="minorEastAsia" w:hAnsi="Times New Roman"/>
          <w:sz w:val="24"/>
          <w:szCs w:val="24"/>
        </w:rPr>
        <w:t>ona u okviru Road show kampanje.</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 xml:space="preserve">Putem medija i prigodnim </w:t>
      </w:r>
      <w:r w:rsidR="00E62E81">
        <w:rPr>
          <w:rFonts w:ascii="Times New Roman" w:eastAsiaTheme="minorEastAsia" w:hAnsi="Times New Roman"/>
          <w:sz w:val="24"/>
          <w:szCs w:val="24"/>
        </w:rPr>
        <w:t>materijalima pozv</w:t>
      </w:r>
      <w:r w:rsidRPr="00B361ED">
        <w:rPr>
          <w:rFonts w:ascii="Times New Roman" w:eastAsiaTheme="minorEastAsia" w:hAnsi="Times New Roman"/>
          <w:sz w:val="24"/>
          <w:szCs w:val="24"/>
        </w:rPr>
        <w:t>ani su izdavaoci privatnog smještaja da legalizuju svoje kapacitete.</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T.O.T. je samo za 2016 –tu godinu odštampala oko 30 000 komada različitog propagandnog materijala u što spadaju (</w:t>
      </w:r>
      <w:proofErr w:type="gramStart"/>
      <w:r w:rsidRPr="00B361ED">
        <w:rPr>
          <w:rFonts w:ascii="Times New Roman" w:eastAsiaTheme="minorEastAsia" w:hAnsi="Times New Roman"/>
          <w:sz w:val="24"/>
          <w:szCs w:val="24"/>
        </w:rPr>
        <w:t>brošure ,,Tivat</w:t>
      </w:r>
      <w:proofErr w:type="gramEnd"/>
      <w:r w:rsidRPr="00B361ED">
        <w:rPr>
          <w:rFonts w:ascii="Times New Roman" w:eastAsiaTheme="minorEastAsia" w:hAnsi="Times New Roman"/>
          <w:sz w:val="24"/>
          <w:szCs w:val="24"/>
        </w:rPr>
        <w:t xml:space="preserve"> na dlanu”, “Tivat od elite do el</w:t>
      </w:r>
      <w:r w:rsidR="001B0B7F">
        <w:rPr>
          <w:rFonts w:ascii="Times New Roman" w:eastAsiaTheme="minorEastAsia" w:hAnsi="Times New Roman"/>
          <w:sz w:val="24"/>
          <w:szCs w:val="24"/>
        </w:rPr>
        <w:t>ite”, “Info Tivat” i</w:t>
      </w:r>
      <w:r w:rsidR="00E62E81">
        <w:rPr>
          <w:rFonts w:ascii="Times New Roman" w:eastAsiaTheme="minorEastAsia" w:hAnsi="Times New Roman"/>
          <w:sz w:val="24"/>
          <w:szCs w:val="24"/>
        </w:rPr>
        <w:t xml:space="preserve"> ostale plak</w:t>
      </w:r>
      <w:r w:rsidR="001B0B7F">
        <w:rPr>
          <w:rFonts w:ascii="Times New Roman" w:eastAsiaTheme="minorEastAsia" w:hAnsi="Times New Roman"/>
          <w:sz w:val="24"/>
          <w:szCs w:val="24"/>
        </w:rPr>
        <w:t>ate i</w:t>
      </w:r>
      <w:r w:rsidRPr="00B361ED">
        <w:rPr>
          <w:rFonts w:ascii="Times New Roman" w:eastAsiaTheme="minorEastAsia" w:hAnsi="Times New Roman"/>
          <w:sz w:val="24"/>
          <w:szCs w:val="24"/>
        </w:rPr>
        <w:t xml:space="preserve"> flajere na naš</w:t>
      </w:r>
      <w:r w:rsidR="001B0B7F">
        <w:rPr>
          <w:rFonts w:ascii="Times New Roman" w:eastAsiaTheme="minorEastAsia" w:hAnsi="Times New Roman"/>
          <w:sz w:val="24"/>
          <w:szCs w:val="24"/>
        </w:rPr>
        <w:t>em i engleskom jeziku). Takođe i</w:t>
      </w:r>
      <w:r w:rsidRPr="00B361ED">
        <w:rPr>
          <w:rFonts w:ascii="Times New Roman" w:eastAsiaTheme="minorEastAsia" w:hAnsi="Times New Roman"/>
          <w:sz w:val="24"/>
          <w:szCs w:val="24"/>
        </w:rPr>
        <w:t xml:space="preserve"> 50 000 komada mapa grada I CG-re,</w:t>
      </w:r>
      <w:r w:rsidR="001B0B7F">
        <w:rPr>
          <w:rFonts w:ascii="Times New Roman" w:eastAsiaTheme="minorEastAsia" w:hAnsi="Times New Roman"/>
          <w:sz w:val="24"/>
          <w:szCs w:val="24"/>
        </w:rPr>
        <w:t xml:space="preserve"> 3000 komada mapa Boke i Vrmca, na našem i</w:t>
      </w:r>
      <w:r w:rsidRPr="00B361ED">
        <w:rPr>
          <w:rFonts w:ascii="Times New Roman" w:eastAsiaTheme="minorEastAsia" w:hAnsi="Times New Roman"/>
          <w:sz w:val="24"/>
          <w:szCs w:val="24"/>
        </w:rPr>
        <w:t xml:space="preserve"> engleskom jeziku.</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Američka producentska kuća Associeted television Interntional i Baldući film iz Zagreba snimali su dio turističkog filma o Tivtu, gdje im je data logistička podrška u realizaciji.</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 xml:space="preserve">Takođe T.O.T. je imala i zapažene reportaže, priloge, intervjue i najave događaja, tekstove, spotove i sl. na radio stanicama i novinama u Crnoj Gori, kao i na TV RTCG, Atlas, Vijesti, Pink M, 777, Info biro-u i drugim TV medijskim kućama u regionu. </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Izuzetna saradnja sa medijima je naročito ostvarena sa: Radio Tivat, Radio Jadran, Ra</w:t>
      </w:r>
      <w:r w:rsidR="001B0B7F">
        <w:rPr>
          <w:rFonts w:ascii="Times New Roman" w:eastAsiaTheme="minorEastAsia" w:hAnsi="Times New Roman"/>
          <w:sz w:val="24"/>
          <w:szCs w:val="24"/>
        </w:rPr>
        <w:t>dio Dux, Boka News, Vijesti TV i</w:t>
      </w:r>
      <w:r w:rsidRPr="00B361ED">
        <w:rPr>
          <w:rFonts w:ascii="Times New Roman" w:eastAsiaTheme="minorEastAsia" w:hAnsi="Times New Roman"/>
          <w:sz w:val="24"/>
          <w:szCs w:val="24"/>
        </w:rPr>
        <w:t xml:space="preserve"> dnevne novine, Dan dnevne no</w:t>
      </w:r>
      <w:r w:rsidR="001B0B7F">
        <w:rPr>
          <w:rFonts w:ascii="Times New Roman" w:eastAsiaTheme="minorEastAsia" w:hAnsi="Times New Roman"/>
          <w:sz w:val="24"/>
          <w:szCs w:val="24"/>
        </w:rPr>
        <w:t>vine, TV Pink, TV KG9, Prva TV i</w:t>
      </w:r>
      <w:r w:rsidRPr="00B361ED">
        <w:rPr>
          <w:rFonts w:ascii="Times New Roman" w:eastAsiaTheme="minorEastAsia" w:hAnsi="Times New Roman"/>
          <w:sz w:val="24"/>
          <w:szCs w:val="24"/>
        </w:rPr>
        <w:t xml:space="preserve"> časopisima Res Publika I Belguest.</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T.O.T. je ugostila i studijske grupe novinara iz Srbije u junu</w:t>
      </w:r>
      <w:r w:rsidR="001B0B7F">
        <w:rPr>
          <w:rFonts w:ascii="Times New Roman" w:eastAsiaTheme="minorEastAsia" w:hAnsi="Times New Roman"/>
          <w:sz w:val="24"/>
          <w:szCs w:val="24"/>
        </w:rPr>
        <w:t xml:space="preserve"> kao i</w:t>
      </w:r>
      <w:r w:rsidRPr="00B361ED">
        <w:rPr>
          <w:rFonts w:ascii="Times New Roman" w:eastAsiaTheme="minorEastAsia" w:hAnsi="Times New Roman"/>
          <w:sz w:val="24"/>
          <w:szCs w:val="24"/>
        </w:rPr>
        <w:t xml:space="preserve"> blogerku Ivanu Dukčević.</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lastRenderedPageBreak/>
        <w:t>Već dugi niz godina T.O.T ima svoj prostor na sajtu furaj.ba u BiH i u Poslovnom vodiču Srbije, kao i prilog na Prvoj srpskoj TV za početak sezone u Tivtu.</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 xml:space="preserve">Road show 2016 </w:t>
      </w:r>
      <w:proofErr w:type="gramStart"/>
      <w:r w:rsidRPr="00B361ED">
        <w:rPr>
          <w:rFonts w:ascii="Times New Roman" w:eastAsiaTheme="minorEastAsia" w:hAnsi="Times New Roman"/>
          <w:sz w:val="24"/>
          <w:szCs w:val="24"/>
        </w:rPr>
        <w:t>godine  ispraćena</w:t>
      </w:r>
      <w:proofErr w:type="gramEnd"/>
      <w:r w:rsidRPr="00B361ED">
        <w:rPr>
          <w:rFonts w:ascii="Times New Roman" w:eastAsiaTheme="minorEastAsia" w:hAnsi="Times New Roman"/>
          <w:sz w:val="24"/>
          <w:szCs w:val="24"/>
        </w:rPr>
        <w:t xml:space="preserve"> je učešćem u nekim gradovima Srbije, a za Tiranu, Prištinu i Banja Luku je poslalat propagandni materijal.</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 xml:space="preserve">Podsticani su visokoškolci da što više učestvuju na javnim raspravama, radionicama, </w:t>
      </w:r>
      <w:proofErr w:type="gramStart"/>
      <w:r w:rsidRPr="00B361ED">
        <w:rPr>
          <w:rFonts w:ascii="Times New Roman" w:eastAsiaTheme="minorEastAsia" w:hAnsi="Times New Roman"/>
          <w:sz w:val="24"/>
          <w:szCs w:val="24"/>
        </w:rPr>
        <w:t>seminarima,  da</w:t>
      </w:r>
      <w:proofErr w:type="gramEnd"/>
      <w:r w:rsidRPr="00B361ED">
        <w:rPr>
          <w:rFonts w:ascii="Times New Roman" w:eastAsiaTheme="minorEastAsia" w:hAnsi="Times New Roman"/>
          <w:sz w:val="24"/>
          <w:szCs w:val="24"/>
        </w:rPr>
        <w:t xml:space="preserve"> prate aktuelne trendove u turizmu.</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 xml:space="preserve">Biroi su otvoreni 25.05.2016. </w:t>
      </w:r>
      <w:proofErr w:type="gramStart"/>
      <w:r w:rsidRPr="00B361ED">
        <w:rPr>
          <w:rFonts w:ascii="Times New Roman" w:eastAsiaTheme="minorEastAsia" w:hAnsi="Times New Roman"/>
          <w:sz w:val="24"/>
          <w:szCs w:val="24"/>
        </w:rPr>
        <w:t>god,  a</w:t>
      </w:r>
      <w:proofErr w:type="gramEnd"/>
      <w:r w:rsidRPr="00B361ED">
        <w:rPr>
          <w:rFonts w:ascii="Times New Roman" w:eastAsiaTheme="minorEastAsia" w:hAnsi="Times New Roman"/>
          <w:sz w:val="24"/>
          <w:szCs w:val="24"/>
        </w:rPr>
        <w:t xml:space="preserve"> opremljeni sopstvenim sredstvima (osim biroa na autobuskoj stanici Tivat), koji je otvoren 01.04.2016 godine.</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Za rad u biroima kao i na terenu tehnički se inovirao rad sa prijavom stranaca I naplatama u vidu lap topova i programom RB90, kao i tablet uređajima za potrebe anketiranja na terenu.</w:t>
      </w:r>
    </w:p>
    <w:p w:rsidR="00B361ED" w:rsidRPr="00B361ED" w:rsidRDefault="00B361ED" w:rsidP="00B361ED">
      <w:pPr>
        <w:jc w:val="both"/>
        <w:rPr>
          <w:rFonts w:ascii="Times New Roman" w:eastAsiaTheme="minorEastAsia" w:hAnsi="Times New Roman"/>
          <w:sz w:val="24"/>
          <w:szCs w:val="24"/>
        </w:rPr>
      </w:pPr>
    </w:p>
    <w:p w:rsidR="00B361ED" w:rsidRPr="00B361ED" w:rsidRDefault="00B361ED" w:rsidP="00B361ED">
      <w:pPr>
        <w:jc w:val="both"/>
        <w:rPr>
          <w:rFonts w:ascii="Times New Roman" w:eastAsiaTheme="minorEastAsia" w:hAnsi="Times New Roman"/>
          <w:b/>
          <w:sz w:val="24"/>
          <w:szCs w:val="24"/>
        </w:rPr>
      </w:pPr>
      <w:r w:rsidRPr="00B361ED">
        <w:rPr>
          <w:rFonts w:ascii="Times New Roman" w:eastAsiaTheme="minorEastAsia" w:hAnsi="Times New Roman"/>
          <w:b/>
          <w:sz w:val="24"/>
          <w:szCs w:val="24"/>
        </w:rPr>
        <w:t>Jul – avgust</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Tivatske ljetnje fešte otpočele su pop rock koncertom sa zvijezdom Josipom Lisac, dana 24.06.2016. god.</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 xml:space="preserve">01.07. </w:t>
      </w:r>
      <w:proofErr w:type="gramStart"/>
      <w:r w:rsidRPr="00B361ED">
        <w:rPr>
          <w:rFonts w:ascii="Times New Roman" w:eastAsiaTheme="minorEastAsia" w:hAnsi="Times New Roman"/>
          <w:sz w:val="24"/>
          <w:szCs w:val="24"/>
        </w:rPr>
        <w:t>i  04.08.</w:t>
      </w:r>
      <w:proofErr w:type="gramEnd"/>
      <w:r w:rsidRPr="00B361ED">
        <w:rPr>
          <w:rFonts w:ascii="Times New Roman" w:eastAsiaTheme="minorEastAsia" w:hAnsi="Times New Roman"/>
          <w:sz w:val="24"/>
          <w:szCs w:val="24"/>
        </w:rPr>
        <w:t xml:space="preserve"> organizovala se sa Maslinarskim </w:t>
      </w:r>
      <w:proofErr w:type="gramStart"/>
      <w:r w:rsidRPr="00B361ED">
        <w:rPr>
          <w:rFonts w:ascii="Times New Roman" w:eastAsiaTheme="minorEastAsia" w:hAnsi="Times New Roman"/>
          <w:sz w:val="24"/>
          <w:szCs w:val="24"/>
        </w:rPr>
        <w:t>društvom ,,Boka</w:t>
      </w:r>
      <w:proofErr w:type="gramEnd"/>
      <w:r w:rsidRPr="00B361ED">
        <w:rPr>
          <w:rFonts w:ascii="Times New Roman" w:eastAsiaTheme="minorEastAsia" w:hAnsi="Times New Roman"/>
          <w:sz w:val="24"/>
          <w:szCs w:val="24"/>
        </w:rPr>
        <w:t xml:space="preserve">” manifestacija ,,Bokeška maslina” na rivi. </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Takođe je dva puta organizovan Sajam suvenira i po jedan put Sajam vina i tradicionalnih proizvoda.</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21.07. organizovano je rock and roll veče na 2 bine na rivi u isto vrijeme, gdje su nastupile mlade rock grupe iz Boke.</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Tivatske ljetnje fešte 2016 ostaće upamćene i po odličnim koncertima: Zemlja Gru</w:t>
      </w:r>
      <w:r w:rsidR="001B0B7F">
        <w:rPr>
          <w:rFonts w:ascii="Times New Roman" w:eastAsiaTheme="minorEastAsia" w:hAnsi="Times New Roman"/>
          <w:sz w:val="24"/>
          <w:szCs w:val="24"/>
        </w:rPr>
        <w:t>va, Nena Belana, Zoostera, MVP i</w:t>
      </w:r>
      <w:r w:rsidRPr="00B361ED">
        <w:rPr>
          <w:rFonts w:ascii="Times New Roman" w:eastAsiaTheme="minorEastAsia" w:hAnsi="Times New Roman"/>
          <w:sz w:val="24"/>
          <w:szCs w:val="24"/>
        </w:rPr>
        <w:t xml:space="preserve"> Bana Lalića, Partibrejkersa, Mostar Sevdah reunion, a u okviru Krtoljske noći imali smo koncerte Gorana Vukošića sa gostima (Olja Karleuša).</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lastRenderedPageBreak/>
        <w:t xml:space="preserve">U toku ljeta 2016-te četiri puta se tradicionalno </w:t>
      </w:r>
      <w:proofErr w:type="gramStart"/>
      <w:r w:rsidRPr="00B361ED">
        <w:rPr>
          <w:rFonts w:ascii="Times New Roman" w:eastAsiaTheme="minorEastAsia" w:hAnsi="Times New Roman"/>
          <w:sz w:val="24"/>
          <w:szCs w:val="24"/>
        </w:rPr>
        <w:t>organizovalo ,,Ljeto</w:t>
      </w:r>
      <w:proofErr w:type="gramEnd"/>
      <w:r w:rsidRPr="00B361ED">
        <w:rPr>
          <w:rFonts w:ascii="Times New Roman" w:eastAsiaTheme="minorEastAsia" w:hAnsi="Times New Roman"/>
          <w:sz w:val="24"/>
          <w:szCs w:val="24"/>
        </w:rPr>
        <w:t xml:space="preserve"> dobrog ukusa” i  to u</w:t>
      </w:r>
      <w:r w:rsidR="001B0B7F">
        <w:rPr>
          <w:rFonts w:ascii="Times New Roman" w:eastAsiaTheme="minorEastAsia" w:hAnsi="Times New Roman"/>
          <w:sz w:val="24"/>
          <w:szCs w:val="24"/>
        </w:rPr>
        <w:t xml:space="preserve"> restoranima Bacchus, Giardino i</w:t>
      </w:r>
      <w:r w:rsidRPr="00B361ED">
        <w:rPr>
          <w:rFonts w:ascii="Times New Roman" w:eastAsiaTheme="minorEastAsia" w:hAnsi="Times New Roman"/>
          <w:sz w:val="24"/>
          <w:szCs w:val="24"/>
        </w:rPr>
        <w:t xml:space="preserve"> hotel “Pine”, sa novinom žurki na plažama u okviru kojih je nastupao Nigor, a to su plaže: Ponta I Movida.</w:t>
      </w:r>
      <w:r w:rsidR="001B0B7F">
        <w:rPr>
          <w:rFonts w:ascii="Times New Roman" w:eastAsiaTheme="minorEastAsia" w:hAnsi="Times New Roman"/>
          <w:sz w:val="24"/>
          <w:szCs w:val="24"/>
        </w:rPr>
        <w:t xml:space="preserve"> </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T.O.T. je bila i jedan od sponzora Fešte od rogača, gostovanja “Tanec” ansambla iz Makedonije, sponzor Jadranskih igara, Svjetskog privenstva u ribolovu za seniore, obezbijeđen je i muzički program na otvaranju Bućarske olimpijade, pomognute i mjesne zajednice u obezbjeđivanju 5 muzičkih programa koji su se održali u prostorijama istih.</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Pet puta se u saradnji sa Udruženjem žena organizovao doček gostiju na trajektu “Kamenari-Lepetani”.</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 xml:space="preserve">Posebno mjesto zauzimao je “Festival uličnih performera – In art” koji se održavao od 28.07.2016. - 30.07.2016. god. </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Sve fešte propratilo je blizu 6000 posjetilaca, za koje je T.O.T. dobila WBA - nacionalnu nagradu predsjednika države Filipa Vujanovića za 2016-tu godinu kao najbolji u toj kategoriji “za manifestacije”, što je T.O.T.-u već druga nagrada po redu.</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U toku ljeta gostima kao urednim platišama boravišne takse, poklonjene su 100 komada karata za pozorišne predstave iz produkcije CZK Tivat.</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 xml:space="preserve">Tokom mjeseca jula i avgusta na teritoriji opštine Tivat sprovedena je anketa čiji je rezultat – prosječna ocjena </w:t>
      </w:r>
      <w:r w:rsidR="00E62E81">
        <w:rPr>
          <w:rFonts w:ascii="Times New Roman" w:eastAsiaTheme="minorEastAsia" w:hAnsi="Times New Roman"/>
          <w:sz w:val="24"/>
          <w:szCs w:val="24"/>
        </w:rPr>
        <w:t>gostiju za boravak u Tivtu 4,27, najviše gostiju je bilo iz zemalja reg</w:t>
      </w:r>
      <w:r w:rsidR="001B0B7F">
        <w:rPr>
          <w:rFonts w:ascii="Times New Roman" w:eastAsiaTheme="minorEastAsia" w:hAnsi="Times New Roman"/>
          <w:sz w:val="24"/>
          <w:szCs w:val="24"/>
        </w:rPr>
        <w:t>iona (Srbija, BiH), kao i Rusa i</w:t>
      </w:r>
      <w:r w:rsidR="00E62E81">
        <w:rPr>
          <w:rFonts w:ascii="Times New Roman" w:eastAsiaTheme="minorEastAsia" w:hAnsi="Times New Roman"/>
          <w:sz w:val="24"/>
          <w:szCs w:val="24"/>
        </w:rPr>
        <w:t xml:space="preserve"> Enlgleza</w:t>
      </w:r>
      <w:r w:rsidR="001B0B7F">
        <w:rPr>
          <w:rFonts w:ascii="Times New Roman" w:eastAsiaTheme="minorEastAsia" w:hAnsi="Times New Roman"/>
          <w:sz w:val="24"/>
          <w:szCs w:val="24"/>
        </w:rPr>
        <w:t>.</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U toku ljeta se oformio koordinacioni tim za organizaciju Nove godine 2017 sa Dubravkom Nikčević (sekreatrkom za kulturu) kao predsjedn</w:t>
      </w:r>
      <w:r w:rsidR="001B0B7F">
        <w:rPr>
          <w:rFonts w:ascii="Times New Roman" w:eastAsiaTheme="minorEastAsia" w:hAnsi="Times New Roman"/>
          <w:sz w:val="24"/>
          <w:szCs w:val="24"/>
        </w:rPr>
        <w:t>icom koordinacionog odbora kao i</w:t>
      </w:r>
      <w:r w:rsidRPr="00B361ED">
        <w:rPr>
          <w:rFonts w:ascii="Times New Roman" w:eastAsiaTheme="minorEastAsia" w:hAnsi="Times New Roman"/>
          <w:sz w:val="24"/>
          <w:szCs w:val="24"/>
        </w:rPr>
        <w:t xml:space="preserve"> ostalim članovima ispred Op</w:t>
      </w:r>
      <w:r w:rsidR="001B0B7F">
        <w:rPr>
          <w:rFonts w:ascii="Times New Roman" w:eastAsiaTheme="minorEastAsia" w:hAnsi="Times New Roman"/>
          <w:sz w:val="24"/>
          <w:szCs w:val="24"/>
        </w:rPr>
        <w:t>štine, T.O.T., Tivat New Brend i</w:t>
      </w:r>
      <w:r w:rsidRPr="00B361ED">
        <w:rPr>
          <w:rFonts w:ascii="Times New Roman" w:eastAsiaTheme="minorEastAsia" w:hAnsi="Times New Roman"/>
          <w:sz w:val="24"/>
          <w:szCs w:val="24"/>
        </w:rPr>
        <w:t xml:space="preserve"> Udruženjem preduzetnika grada.</w:t>
      </w:r>
    </w:p>
    <w:p w:rsidR="00B361ED" w:rsidRDefault="00B361ED" w:rsidP="00B361ED">
      <w:pPr>
        <w:jc w:val="both"/>
        <w:rPr>
          <w:rFonts w:ascii="Times New Roman" w:eastAsiaTheme="minorEastAsia" w:hAnsi="Times New Roman"/>
          <w:b/>
          <w:sz w:val="24"/>
          <w:szCs w:val="24"/>
        </w:rPr>
      </w:pPr>
    </w:p>
    <w:p w:rsidR="00C918D5" w:rsidRDefault="00C918D5" w:rsidP="00B361ED">
      <w:pPr>
        <w:jc w:val="both"/>
        <w:rPr>
          <w:rFonts w:ascii="Times New Roman" w:eastAsiaTheme="minorEastAsia" w:hAnsi="Times New Roman"/>
          <w:b/>
          <w:sz w:val="24"/>
          <w:szCs w:val="24"/>
        </w:rPr>
      </w:pPr>
    </w:p>
    <w:p w:rsidR="00EA353B" w:rsidRPr="00B361ED" w:rsidRDefault="00EA353B" w:rsidP="00B361ED">
      <w:pPr>
        <w:jc w:val="both"/>
        <w:rPr>
          <w:rFonts w:ascii="Times New Roman" w:eastAsiaTheme="minorEastAsia" w:hAnsi="Times New Roman"/>
          <w:b/>
          <w:sz w:val="24"/>
          <w:szCs w:val="24"/>
        </w:rPr>
      </w:pPr>
    </w:p>
    <w:p w:rsidR="00B361ED" w:rsidRPr="00B361ED" w:rsidRDefault="00B361ED" w:rsidP="00B361ED">
      <w:pPr>
        <w:jc w:val="both"/>
        <w:rPr>
          <w:rFonts w:ascii="Times New Roman" w:eastAsiaTheme="minorEastAsia" w:hAnsi="Times New Roman"/>
          <w:b/>
          <w:sz w:val="24"/>
          <w:szCs w:val="24"/>
        </w:rPr>
      </w:pPr>
      <w:r w:rsidRPr="00B361ED">
        <w:rPr>
          <w:rFonts w:ascii="Times New Roman" w:eastAsiaTheme="minorEastAsia" w:hAnsi="Times New Roman"/>
          <w:b/>
          <w:sz w:val="24"/>
          <w:szCs w:val="24"/>
        </w:rPr>
        <w:lastRenderedPageBreak/>
        <w:t>Septembar - Oktobar</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 xml:space="preserve">Na bazi prikupljenog materijala raspisan je tender za objavljivanje 2 nova kataloga hotelskog i privatnog smještaja </w:t>
      </w:r>
      <w:r w:rsidR="005431E8">
        <w:rPr>
          <w:rFonts w:ascii="Times New Roman" w:eastAsiaTheme="minorEastAsia" w:hAnsi="Times New Roman"/>
          <w:sz w:val="24"/>
          <w:szCs w:val="24"/>
        </w:rPr>
        <w:t>koji je predviđen za 2017-tu godinu</w:t>
      </w:r>
      <w:r w:rsidRPr="00B361ED">
        <w:rPr>
          <w:rFonts w:ascii="Times New Roman" w:eastAsiaTheme="minorEastAsia" w:hAnsi="Times New Roman"/>
          <w:sz w:val="24"/>
          <w:szCs w:val="24"/>
        </w:rPr>
        <w:t>, kao i Gastro kataloga.</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02.10.2016. godine u hotelu “La Roche” održana je konferencija za štampu Skupštine TO Tivat na kojoj su predstavljeni rezultati ankete i rezultati poslovanja u toku sezone.</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TO Tivat organizovala je 24.10.2016. god. podršku proslave za najmlađe “U susret Halloween-u”, kao duh zajedništva sa svim kluturama koje obitavaju na prostorima naše opštine, sa ciljem uveseljavanja najmlađih, u čemu se podršci priključilo i “Udruženje žena Tivta” i učenici osnovne i srednje Tivatske škole.</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Na bazi sprovedene ankete, obrađeni podaci su na kraju turističke sezone zabilježili najviše gostiju iz: Crne Gore (20.567), Srbije (9.964), BiH (2.113), Hrvatske (807), Rusije (1.674), Njemačke (1.029), Velike Britanije (502) I Francuske (294), sa ukupno (40,249) posjetioca u periodu od 01.06-20.09.2016. god.</w:t>
      </w:r>
    </w:p>
    <w:p w:rsidR="00B361ED" w:rsidRPr="00B361ED" w:rsidRDefault="00B361ED" w:rsidP="00B361ED">
      <w:pPr>
        <w:jc w:val="both"/>
        <w:rPr>
          <w:rFonts w:ascii="Times New Roman" w:eastAsiaTheme="minorEastAsia" w:hAnsi="Times New Roman"/>
          <w:sz w:val="24"/>
          <w:szCs w:val="24"/>
        </w:rPr>
      </w:pPr>
    </w:p>
    <w:p w:rsidR="00B361ED" w:rsidRPr="00B361ED" w:rsidRDefault="00B361ED" w:rsidP="00B361ED">
      <w:pPr>
        <w:jc w:val="both"/>
        <w:rPr>
          <w:rFonts w:ascii="Times New Roman" w:eastAsiaTheme="minorEastAsia" w:hAnsi="Times New Roman"/>
          <w:b/>
          <w:sz w:val="24"/>
          <w:szCs w:val="24"/>
        </w:rPr>
      </w:pPr>
      <w:r w:rsidRPr="00B361ED">
        <w:rPr>
          <w:rFonts w:ascii="Times New Roman" w:eastAsiaTheme="minorEastAsia" w:hAnsi="Times New Roman"/>
          <w:b/>
          <w:sz w:val="24"/>
          <w:szCs w:val="24"/>
        </w:rPr>
        <w:t>Novembar – Decembar</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Novembar je T.O.T započela sa promotivnom kampanjom Dočeka Nove godine (u vidu press konferencija) 2017. godine u gradovima regiona: Beograd, Dubrovnik, Trebinje i Sarajevo, kao i u našem glavnom gradu u Podgorici i predstavnicima organizatora u opštini Tivat.</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 xml:space="preserve">U okviru novembarskih dana, 17.11.  TO Tivat je u Gornjoj Lastvi, zajedno sa djecom iz O.Š. “Drago Milović I dječijeg parlamenta”, kao i u prisustvu 2 profesora vodiča organizovala </w:t>
      </w:r>
      <w:proofErr w:type="gramStart"/>
      <w:r w:rsidRPr="00B361ED">
        <w:rPr>
          <w:rFonts w:ascii="Times New Roman" w:eastAsiaTheme="minorEastAsia" w:hAnsi="Times New Roman"/>
          <w:sz w:val="24"/>
          <w:szCs w:val="24"/>
        </w:rPr>
        <w:t>akciju ,,Upoznajmo</w:t>
      </w:r>
      <w:proofErr w:type="gramEnd"/>
      <w:r w:rsidRPr="00B361ED">
        <w:rPr>
          <w:rFonts w:ascii="Times New Roman" w:eastAsiaTheme="minorEastAsia" w:hAnsi="Times New Roman"/>
          <w:sz w:val="24"/>
          <w:szCs w:val="24"/>
        </w:rPr>
        <w:t xml:space="preserve"> Gornju Lastvu”,  a u čast “Svjetskog dana ekoloških pokreta”.</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Dana 29.11.2016. godine zapo</w:t>
      </w:r>
      <w:r w:rsidRPr="00B361ED">
        <w:rPr>
          <w:rFonts w:ascii="Times New Roman" w:eastAsiaTheme="minorEastAsia" w:hAnsi="Times New Roman"/>
          <w:sz w:val="24"/>
          <w:szCs w:val="24"/>
          <w:lang w:val="en-GB"/>
        </w:rPr>
        <w:t>četo je</w:t>
      </w:r>
      <w:r w:rsidRPr="00B361ED">
        <w:rPr>
          <w:rFonts w:ascii="Times New Roman" w:eastAsiaTheme="minorEastAsia" w:hAnsi="Times New Roman"/>
          <w:sz w:val="24"/>
          <w:szCs w:val="24"/>
        </w:rPr>
        <w:t xml:space="preserve"> sa naplatom boravišne takse za </w:t>
      </w:r>
      <w:r w:rsidR="00180BB6">
        <w:rPr>
          <w:rFonts w:ascii="Times New Roman" w:eastAsiaTheme="minorEastAsia" w:hAnsi="Times New Roman"/>
          <w:sz w:val="24"/>
          <w:szCs w:val="24"/>
        </w:rPr>
        <w:t>plovne objekte</w:t>
      </w:r>
      <w:r w:rsidRPr="00B361ED">
        <w:rPr>
          <w:rFonts w:ascii="Times New Roman" w:eastAsiaTheme="minorEastAsia" w:hAnsi="Times New Roman"/>
          <w:sz w:val="24"/>
          <w:szCs w:val="24"/>
        </w:rPr>
        <w:t xml:space="preserve"> (tzv. nautičke takse) na dvije lokacije u dogovoru sa predstavnicima Lučke kapetanije, koristeći njihove prostore (po zvaničnom odobrenju Ministrastva za </w:t>
      </w:r>
      <w:r w:rsidR="00180BB6">
        <w:rPr>
          <w:rFonts w:ascii="Times New Roman" w:eastAsiaTheme="minorEastAsia" w:hAnsi="Times New Roman"/>
          <w:sz w:val="24"/>
          <w:szCs w:val="24"/>
        </w:rPr>
        <w:t>saobraćaj i pomorstvo</w:t>
      </w:r>
      <w:r w:rsidRPr="00B361ED">
        <w:rPr>
          <w:rFonts w:ascii="Times New Roman" w:eastAsiaTheme="minorEastAsia" w:hAnsi="Times New Roman"/>
          <w:sz w:val="24"/>
          <w:szCs w:val="24"/>
        </w:rPr>
        <w:t>) na Pinama</w:t>
      </w:r>
      <w:r w:rsidR="00180BB6">
        <w:rPr>
          <w:rFonts w:ascii="Times New Roman" w:eastAsiaTheme="minorEastAsia" w:hAnsi="Times New Roman"/>
          <w:sz w:val="24"/>
          <w:szCs w:val="24"/>
        </w:rPr>
        <w:t xml:space="preserve"> (Lučka kapetanija)</w:t>
      </w:r>
      <w:bookmarkStart w:id="0" w:name="_GoBack"/>
      <w:bookmarkEnd w:id="0"/>
      <w:r w:rsidRPr="00B361ED">
        <w:rPr>
          <w:rFonts w:ascii="Times New Roman" w:eastAsiaTheme="minorEastAsia" w:hAnsi="Times New Roman"/>
          <w:sz w:val="24"/>
          <w:szCs w:val="24"/>
        </w:rPr>
        <w:t xml:space="preserve"> i carinskoj </w:t>
      </w:r>
      <w:r w:rsidRPr="00B361ED">
        <w:rPr>
          <w:rFonts w:ascii="Times New Roman" w:eastAsiaTheme="minorEastAsia" w:hAnsi="Times New Roman"/>
          <w:sz w:val="24"/>
          <w:szCs w:val="24"/>
        </w:rPr>
        <w:lastRenderedPageBreak/>
        <w:t>ispostavi u Porto Montenegru, sa 1 zaposlenim radnikom na određeno vrijeme (po sistematizaciji organizacije sa SSS).</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01.12.2016.god. održane su sjednice Izvršnog odbora i Skupštine TO Tivat na kojima je usvojen Plan i program rada i Finansijski plan za 2017. Godinu i razmotren Izvještaj o radu sa Finansijskim izvještajem od 2016 godine.</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Svjetski ekološki “Dan planina” T.O.T. je obilježila zajedno sa planinarima “</w:t>
      </w:r>
      <w:r w:rsidR="001B0B7F">
        <w:rPr>
          <w:rFonts w:ascii="Times New Roman" w:eastAsiaTheme="minorEastAsia" w:hAnsi="Times New Roman"/>
          <w:sz w:val="24"/>
          <w:szCs w:val="24"/>
        </w:rPr>
        <w:t>Pestingrada” kao i</w:t>
      </w:r>
      <w:r w:rsidRPr="00B361ED">
        <w:rPr>
          <w:rFonts w:ascii="Times New Roman" w:eastAsiaTheme="minorEastAsia" w:hAnsi="Times New Roman"/>
          <w:sz w:val="24"/>
          <w:szCs w:val="24"/>
        </w:rPr>
        <w:t xml:space="preserve"> svim zai</w:t>
      </w:r>
      <w:r w:rsidR="001B0B7F">
        <w:rPr>
          <w:rFonts w:ascii="Times New Roman" w:eastAsiaTheme="minorEastAsia" w:hAnsi="Times New Roman"/>
          <w:sz w:val="24"/>
          <w:szCs w:val="24"/>
        </w:rPr>
        <w:t>nteresovanim građanima koji su i</w:t>
      </w:r>
      <w:r w:rsidRPr="00B361ED">
        <w:rPr>
          <w:rFonts w:ascii="Times New Roman" w:eastAsiaTheme="minorEastAsia" w:hAnsi="Times New Roman"/>
          <w:sz w:val="24"/>
          <w:szCs w:val="24"/>
        </w:rPr>
        <w:t xml:space="preserve"> javno bili pozvani da se pridruže, izletom na Vrmcu do najvisočijeg vrha “Sv Ilije” na 760 m nadmorske visine.</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Humanitarni doprinos T.O.T pokazao je u danima 19.12.2016. god. “Help portrait” u Porto Montenegru u Tivtu i 22.12. učešćem na “Humanitarnom bazaru” u organizaciji Opštine grada, čiji su prihodi raspoređeni u humanitarne svrhe.</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 xml:space="preserve">Kraj godine obilježila je 30.12. </w:t>
      </w:r>
      <w:proofErr w:type="gramStart"/>
      <w:r w:rsidRPr="00B361ED">
        <w:rPr>
          <w:rFonts w:ascii="Times New Roman" w:eastAsiaTheme="minorEastAsia" w:hAnsi="Times New Roman"/>
          <w:sz w:val="24"/>
          <w:szCs w:val="24"/>
        </w:rPr>
        <w:t>manifestacija ,,U</w:t>
      </w:r>
      <w:proofErr w:type="gramEnd"/>
      <w:r w:rsidRPr="00B361ED">
        <w:rPr>
          <w:rFonts w:ascii="Times New Roman" w:eastAsiaTheme="minorEastAsia" w:hAnsi="Times New Roman"/>
          <w:sz w:val="24"/>
          <w:szCs w:val="24"/>
        </w:rPr>
        <w:t xml:space="preserve"> susret Djeda mrazu” za najmlađe sugrađane i svečani doček Nove godine 2017-te godine, koji je priređen zajedno sa Opštinom Tivat i trajao je dva dana 31.12.2016. godine kada su nastupili DJ. Perry, Nina Petković i Prljavo Kazalište, sa svečanim vatrometom u ponoć, i 1.1.2017. godine kada su nastupili DJ Perry, Vanja Radovanović i Haris Džinović.</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 xml:space="preserve">Za potrebe pomenutog događaja snimljen je materijal sa 2 kamere u trajanju </w:t>
      </w:r>
      <w:proofErr w:type="gramStart"/>
      <w:r w:rsidRPr="00B361ED">
        <w:rPr>
          <w:rFonts w:ascii="Times New Roman" w:eastAsiaTheme="minorEastAsia" w:hAnsi="Times New Roman"/>
          <w:sz w:val="24"/>
          <w:szCs w:val="24"/>
        </w:rPr>
        <w:t>od  2</w:t>
      </w:r>
      <w:proofErr w:type="gramEnd"/>
      <w:r w:rsidRPr="00B361ED">
        <w:rPr>
          <w:rFonts w:ascii="Times New Roman" w:eastAsiaTheme="minorEastAsia" w:hAnsi="Times New Roman"/>
          <w:sz w:val="24"/>
          <w:szCs w:val="24"/>
        </w:rPr>
        <w:t xml:space="preserve"> h ,sa standardnom i dron kamerom iz vazduha, a takođe je propraćen i program u režiji Udruženja preduzetnika grada koji je pokrivao dane od 26.12-31.12.2016 I 02.01.2017. god. Čime je kako uveličao tako I proširo cjelokupni program.</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U Novogodišnji program T.O.T je ušla sa planiranih 38.</w:t>
      </w:r>
      <w:r w:rsidR="0027012A">
        <w:rPr>
          <w:rFonts w:ascii="Times New Roman" w:eastAsiaTheme="minorEastAsia" w:hAnsi="Times New Roman"/>
          <w:sz w:val="24"/>
          <w:szCs w:val="24"/>
        </w:rPr>
        <w:t xml:space="preserve">000,00 </w:t>
      </w:r>
      <w:proofErr w:type="gramStart"/>
      <w:r w:rsidR="0027012A">
        <w:rPr>
          <w:rFonts w:ascii="Times New Roman" w:eastAsiaTheme="minorEastAsia" w:hAnsi="Times New Roman"/>
          <w:sz w:val="24"/>
          <w:szCs w:val="24"/>
        </w:rPr>
        <w:t>eura ,</w:t>
      </w:r>
      <w:proofErr w:type="gramEnd"/>
      <w:r w:rsidR="0027012A">
        <w:rPr>
          <w:rFonts w:ascii="Times New Roman" w:eastAsiaTheme="minorEastAsia" w:hAnsi="Times New Roman"/>
          <w:sz w:val="24"/>
          <w:szCs w:val="24"/>
        </w:rPr>
        <w:t xml:space="preserve"> iako je TOTimala i</w:t>
      </w:r>
      <w:r w:rsidRPr="00B361ED">
        <w:rPr>
          <w:rFonts w:ascii="Times New Roman" w:eastAsiaTheme="minorEastAsia" w:hAnsi="Times New Roman"/>
          <w:sz w:val="24"/>
          <w:szCs w:val="24"/>
        </w:rPr>
        <w:t xml:space="preserve"> dodatne troškove oko: izrade plakata, flajera, radijskih i ostalih reklama, kao i promocije po regionu.</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U ovom događaju, PR aktivnosti T.O.T-a u cilju promocije pomenutog događaja su se ogledale učešćem na sljedećim medijima: TV 777, RTCG, RTV Budva, Radio Tivat, Pink Srbija, Kopernikus.</w:t>
      </w:r>
    </w:p>
    <w:p w:rsidR="00B361ED" w:rsidRDefault="00B361ED" w:rsidP="00B361ED">
      <w:pPr>
        <w:jc w:val="both"/>
        <w:rPr>
          <w:rFonts w:ascii="Times New Roman" w:eastAsiaTheme="minorEastAsia" w:hAnsi="Times New Roman"/>
          <w:sz w:val="24"/>
          <w:szCs w:val="24"/>
        </w:rPr>
      </w:pPr>
    </w:p>
    <w:p w:rsidR="001B0B7F" w:rsidRDefault="001B0B7F" w:rsidP="00B361ED">
      <w:pPr>
        <w:jc w:val="both"/>
        <w:rPr>
          <w:rFonts w:ascii="Times New Roman" w:eastAsiaTheme="minorEastAsia" w:hAnsi="Times New Roman"/>
          <w:sz w:val="24"/>
          <w:szCs w:val="24"/>
        </w:rPr>
      </w:pPr>
    </w:p>
    <w:p w:rsidR="00EA353B" w:rsidRDefault="00EA353B" w:rsidP="00B361ED">
      <w:pPr>
        <w:jc w:val="both"/>
        <w:rPr>
          <w:rFonts w:ascii="Times New Roman" w:eastAsiaTheme="minorEastAsia" w:hAnsi="Times New Roman"/>
          <w:sz w:val="24"/>
          <w:szCs w:val="24"/>
        </w:rPr>
      </w:pPr>
    </w:p>
    <w:p w:rsidR="00EA353B" w:rsidRPr="00B361ED" w:rsidRDefault="00EA353B" w:rsidP="00B361ED">
      <w:pPr>
        <w:jc w:val="both"/>
        <w:rPr>
          <w:rFonts w:ascii="Times New Roman" w:eastAsiaTheme="minorEastAsia" w:hAnsi="Times New Roman"/>
          <w:sz w:val="24"/>
          <w:szCs w:val="24"/>
        </w:rPr>
      </w:pPr>
    </w:p>
    <w:p w:rsidR="00B361ED" w:rsidRPr="00B361ED" w:rsidRDefault="00B361ED" w:rsidP="00B361ED">
      <w:pPr>
        <w:jc w:val="both"/>
        <w:rPr>
          <w:rFonts w:ascii="Times New Roman" w:eastAsiaTheme="minorEastAsia" w:hAnsi="Times New Roman"/>
          <w:b/>
          <w:sz w:val="24"/>
          <w:szCs w:val="24"/>
        </w:rPr>
      </w:pPr>
      <w:r w:rsidRPr="00B361ED">
        <w:rPr>
          <w:rFonts w:ascii="Times New Roman" w:eastAsiaTheme="minorEastAsia" w:hAnsi="Times New Roman"/>
          <w:b/>
          <w:sz w:val="24"/>
          <w:szCs w:val="24"/>
        </w:rPr>
        <w:t>Ostalo</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Tokom 2016. godine u birou u centru grada i u sezonskim biroima prijavljeno je ukupno 52018 gostiju ukupno u 2016-toj godini.</w:t>
      </w:r>
      <w:r w:rsidR="0027012A">
        <w:rPr>
          <w:rFonts w:ascii="Times New Roman" w:eastAsiaTheme="minorEastAsia" w:hAnsi="Times New Roman"/>
          <w:sz w:val="24"/>
          <w:szCs w:val="24"/>
        </w:rPr>
        <w:t xml:space="preserve"> </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Sopstvenim sredstvima T.O.T je obnovila i više znakova turističke signalizacije.</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Reklamni materijal koji je izrađen za Novu Godinu 2016-tu godinu racionalno je trošen, tako ga je organizacija imala i tokom ljeta za poklone posl. partnerima i gostima opštine, kao i u periodu nakon sezone za potrebe posjeta Opštinskim delagacijama grada.</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 xml:space="preserve">Redovno su dostavljani podaci o broju gostiju svim zainteresovanim subjektima, sarađivalo se sa lokalnim samoupravama, javnim preduzećima, MUP-om, Domom zdravlja, Službom zaštite, </w:t>
      </w:r>
      <w:proofErr w:type="gramStart"/>
      <w:r w:rsidRPr="00B361ED">
        <w:rPr>
          <w:rFonts w:ascii="Times New Roman" w:eastAsiaTheme="minorEastAsia" w:hAnsi="Times New Roman"/>
          <w:sz w:val="24"/>
          <w:szCs w:val="24"/>
        </w:rPr>
        <w:t>ZZZCG ,</w:t>
      </w:r>
      <w:proofErr w:type="gramEnd"/>
      <w:r w:rsidRPr="00B361ED">
        <w:rPr>
          <w:rFonts w:ascii="Times New Roman" w:eastAsiaTheme="minorEastAsia" w:hAnsi="Times New Roman"/>
          <w:sz w:val="24"/>
          <w:szCs w:val="24"/>
        </w:rPr>
        <w:t xml:space="preserve"> inspekcijskim službama i ostalim subjektima koji su na svoj način doprinijeli uspješnoj sezoni I Dočeku N.G. 2017.</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Uloga TO Tivat u edukaciji kadrova za rad u turizmu ogledala se u ob</w:t>
      </w:r>
      <w:r w:rsidR="0027012A">
        <w:rPr>
          <w:rFonts w:ascii="Times New Roman" w:eastAsiaTheme="minorEastAsia" w:hAnsi="Times New Roman"/>
          <w:sz w:val="24"/>
          <w:szCs w:val="24"/>
        </w:rPr>
        <w:t>uci 4 visokoškolca, 2 studenta i</w:t>
      </w:r>
      <w:r w:rsidRPr="00B361ED">
        <w:rPr>
          <w:rFonts w:ascii="Times New Roman" w:eastAsiaTheme="minorEastAsia" w:hAnsi="Times New Roman"/>
          <w:sz w:val="24"/>
          <w:szCs w:val="24"/>
        </w:rPr>
        <w:t xml:space="preserve"> 10 srednjoškolaca kroz sezonsku podršku u radu.</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TO Tivat pokazuje i punu društven</w:t>
      </w:r>
      <w:r w:rsidR="0027012A">
        <w:rPr>
          <w:rFonts w:ascii="Times New Roman" w:eastAsiaTheme="minorEastAsia" w:hAnsi="Times New Roman"/>
          <w:sz w:val="24"/>
          <w:szCs w:val="24"/>
        </w:rPr>
        <w:t>u odgovornost, pa se odazivala i</w:t>
      </w:r>
      <w:r w:rsidRPr="00B361ED">
        <w:rPr>
          <w:rFonts w:ascii="Times New Roman" w:eastAsiaTheme="minorEastAsia" w:hAnsi="Times New Roman"/>
          <w:sz w:val="24"/>
          <w:szCs w:val="24"/>
        </w:rPr>
        <w:t xml:space="preserve"> pozivima humanitarnih, sportskih i drugih organizacija radi saradnje i pomoći, kao i svim akcijama na poboljšanju I unapređenju ekološke svijesti građana.</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Sve aktivnosti ispraćene su od strane Radio Tivta, portal Bokanews, dnevnih listova Pobjeda, Vijesti, Dan i Dnevnih novina. Takođe, TO Tivat ima dobru saradnju i susjedske odnose sa Radio Dux-om u birou Donja Lastva.</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Sve planirane aktivnosti na objavljivanju tendera u Javnim nabavkama za reprint i štampanje propagandnog materijala realizovane su u potpunosti.</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lastRenderedPageBreak/>
        <w:t>U toku 2016. godine planirano je 17 nabavki sa ukupnim planiranim budžetom za Javne nabavke od 51,900.00 od čega su sve realizovane, čija je procijenjena vrijednost iznosila 26,900.00 eura, a ukupna ugovorena vrijednost sa PDV-om je iznosila 22.008,25 eura.</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Na sajtu TO Tivat www.tivat.travel bilo je ukupno 79 506 posjetilaca, od čega je novih 71,2%. Najviše posjetilaca je bilo iz Crne Gore, zatim slijedi Srbija, BiH, SAD, Rusija, Albanija, Nje</w:t>
      </w:r>
      <w:r w:rsidR="0027012A">
        <w:rPr>
          <w:rFonts w:ascii="Times New Roman" w:eastAsiaTheme="minorEastAsia" w:hAnsi="Times New Roman"/>
          <w:sz w:val="24"/>
          <w:szCs w:val="24"/>
        </w:rPr>
        <w:t>mačka, Hrvatska, UK, Francuska i</w:t>
      </w:r>
      <w:r w:rsidRPr="00B361ED">
        <w:rPr>
          <w:rFonts w:ascii="Times New Roman" w:eastAsiaTheme="minorEastAsia" w:hAnsi="Times New Roman"/>
          <w:sz w:val="24"/>
          <w:szCs w:val="24"/>
        </w:rPr>
        <w:t xml:space="preserve"> td. Na Facebook stranici imamo 23865 fanova, a na Instagramu nas prati 968 osobe. TO Tivat se trudi da dnevno ažurira informacije na ovim drušvenim mrežama.</w:t>
      </w:r>
    </w:p>
    <w:p w:rsidR="00B361ED" w:rsidRPr="00B361ED" w:rsidRDefault="00B361ED" w:rsidP="00B361ED">
      <w:pPr>
        <w:jc w:val="both"/>
        <w:rPr>
          <w:rFonts w:ascii="Times New Roman" w:eastAsiaTheme="minorEastAsia" w:hAnsi="Times New Roman"/>
          <w:sz w:val="24"/>
          <w:szCs w:val="24"/>
        </w:rPr>
      </w:pPr>
      <w:r w:rsidRPr="00B361ED">
        <w:rPr>
          <w:rFonts w:ascii="Times New Roman" w:eastAsiaTheme="minorEastAsia" w:hAnsi="Times New Roman"/>
          <w:sz w:val="24"/>
          <w:szCs w:val="24"/>
        </w:rPr>
        <w:t>Sedmično, mjesečno i godišnje prikupljani su podaci o turističkom prometu, što predstavlja redovnu aktivnost organizacija. Tako su prikupljeni i sljedeći podaci</w:t>
      </w:r>
    </w:p>
    <w:tbl>
      <w:tblPr>
        <w:tblStyle w:val="TableGrid1"/>
        <w:tblW w:w="0" w:type="auto"/>
        <w:tblLook w:val="04A0" w:firstRow="1" w:lastRow="0" w:firstColumn="1" w:lastColumn="0" w:noHBand="0" w:noVBand="1"/>
      </w:tblPr>
      <w:tblGrid>
        <w:gridCol w:w="2576"/>
        <w:gridCol w:w="2258"/>
        <w:gridCol w:w="2258"/>
        <w:gridCol w:w="2258"/>
      </w:tblGrid>
      <w:tr w:rsidR="00B361ED" w:rsidRPr="00B361ED" w:rsidTr="00CF3BC4">
        <w:tc>
          <w:tcPr>
            <w:tcW w:w="2576" w:type="dxa"/>
          </w:tcPr>
          <w:p w:rsidR="00B361ED" w:rsidRPr="00B361ED" w:rsidRDefault="00B361ED" w:rsidP="00B361ED">
            <w:pPr>
              <w:spacing w:after="0" w:line="240" w:lineRule="auto"/>
              <w:rPr>
                <w:rFonts w:ascii="Times New Roman" w:hAnsi="Times New Roman"/>
                <w:sz w:val="24"/>
                <w:szCs w:val="24"/>
              </w:rPr>
            </w:pPr>
          </w:p>
        </w:tc>
        <w:tc>
          <w:tcPr>
            <w:tcW w:w="2258" w:type="dxa"/>
          </w:tcPr>
          <w:p w:rsidR="00B361ED" w:rsidRPr="00B361ED" w:rsidRDefault="00B361ED" w:rsidP="00B361ED">
            <w:pPr>
              <w:spacing w:after="0" w:line="240" w:lineRule="auto"/>
              <w:jc w:val="center"/>
              <w:rPr>
                <w:rFonts w:ascii="Times New Roman" w:hAnsi="Times New Roman"/>
                <w:b/>
                <w:sz w:val="24"/>
                <w:szCs w:val="24"/>
              </w:rPr>
            </w:pPr>
            <w:r w:rsidRPr="00B361ED">
              <w:rPr>
                <w:rFonts w:ascii="Times New Roman" w:hAnsi="Times New Roman"/>
                <w:b/>
                <w:sz w:val="24"/>
                <w:szCs w:val="24"/>
              </w:rPr>
              <w:t>2014</w:t>
            </w:r>
          </w:p>
        </w:tc>
        <w:tc>
          <w:tcPr>
            <w:tcW w:w="2258" w:type="dxa"/>
          </w:tcPr>
          <w:p w:rsidR="00B361ED" w:rsidRPr="00B361ED" w:rsidRDefault="00B361ED" w:rsidP="00B361ED">
            <w:pPr>
              <w:spacing w:after="0" w:line="240" w:lineRule="auto"/>
              <w:jc w:val="center"/>
              <w:rPr>
                <w:rFonts w:ascii="Times New Roman" w:hAnsi="Times New Roman"/>
                <w:b/>
                <w:sz w:val="24"/>
                <w:szCs w:val="24"/>
              </w:rPr>
            </w:pPr>
            <w:r w:rsidRPr="00B361ED">
              <w:rPr>
                <w:rFonts w:ascii="Times New Roman" w:hAnsi="Times New Roman"/>
                <w:b/>
                <w:sz w:val="24"/>
                <w:szCs w:val="24"/>
              </w:rPr>
              <w:t>2015</w:t>
            </w:r>
          </w:p>
        </w:tc>
        <w:tc>
          <w:tcPr>
            <w:tcW w:w="2258" w:type="dxa"/>
          </w:tcPr>
          <w:p w:rsidR="00B361ED" w:rsidRPr="00B361ED" w:rsidRDefault="00B361ED" w:rsidP="00B361ED">
            <w:pPr>
              <w:spacing w:after="0" w:line="240" w:lineRule="auto"/>
              <w:jc w:val="center"/>
              <w:rPr>
                <w:rFonts w:ascii="Times New Roman" w:hAnsi="Times New Roman"/>
                <w:b/>
                <w:sz w:val="24"/>
                <w:szCs w:val="24"/>
              </w:rPr>
            </w:pPr>
            <w:r w:rsidRPr="00B361ED">
              <w:rPr>
                <w:rFonts w:ascii="Times New Roman" w:hAnsi="Times New Roman"/>
                <w:b/>
                <w:sz w:val="24"/>
                <w:szCs w:val="24"/>
              </w:rPr>
              <w:t>2016</w:t>
            </w:r>
          </w:p>
        </w:tc>
      </w:tr>
      <w:tr w:rsidR="00B361ED" w:rsidRPr="00B361ED" w:rsidTr="00CF3BC4">
        <w:tc>
          <w:tcPr>
            <w:tcW w:w="2576" w:type="dxa"/>
          </w:tcPr>
          <w:p w:rsidR="00B361ED" w:rsidRPr="00B361ED" w:rsidRDefault="00B361ED" w:rsidP="00B361ED">
            <w:pPr>
              <w:spacing w:after="0" w:line="240" w:lineRule="auto"/>
              <w:rPr>
                <w:rFonts w:ascii="Times New Roman" w:hAnsi="Times New Roman"/>
                <w:sz w:val="24"/>
                <w:szCs w:val="24"/>
              </w:rPr>
            </w:pPr>
            <w:r w:rsidRPr="00B361ED">
              <w:rPr>
                <w:rFonts w:ascii="Times New Roman" w:hAnsi="Times New Roman"/>
                <w:sz w:val="24"/>
                <w:szCs w:val="24"/>
              </w:rPr>
              <w:t>Posjetioci</w:t>
            </w:r>
          </w:p>
        </w:tc>
        <w:tc>
          <w:tcPr>
            <w:tcW w:w="2258" w:type="dxa"/>
          </w:tcPr>
          <w:p w:rsidR="00B361ED" w:rsidRPr="00B361ED" w:rsidRDefault="00B361ED" w:rsidP="00B361ED">
            <w:pPr>
              <w:spacing w:after="0" w:line="240" w:lineRule="auto"/>
              <w:jc w:val="center"/>
              <w:rPr>
                <w:rFonts w:ascii="Times New Roman" w:hAnsi="Times New Roman"/>
                <w:sz w:val="24"/>
                <w:szCs w:val="24"/>
              </w:rPr>
            </w:pPr>
            <w:r w:rsidRPr="00B361ED">
              <w:rPr>
                <w:rFonts w:ascii="Times New Roman" w:hAnsi="Times New Roman"/>
                <w:sz w:val="24"/>
                <w:szCs w:val="24"/>
              </w:rPr>
              <w:t>45.577</w:t>
            </w:r>
          </w:p>
        </w:tc>
        <w:tc>
          <w:tcPr>
            <w:tcW w:w="2258" w:type="dxa"/>
          </w:tcPr>
          <w:p w:rsidR="00B361ED" w:rsidRPr="00B361ED" w:rsidRDefault="00B361ED" w:rsidP="00B361ED">
            <w:pPr>
              <w:spacing w:after="0" w:line="240" w:lineRule="auto"/>
              <w:jc w:val="center"/>
              <w:rPr>
                <w:rFonts w:ascii="Times New Roman" w:hAnsi="Times New Roman"/>
                <w:sz w:val="24"/>
                <w:szCs w:val="24"/>
              </w:rPr>
            </w:pPr>
            <w:r w:rsidRPr="00B361ED">
              <w:rPr>
                <w:rFonts w:ascii="Times New Roman" w:hAnsi="Times New Roman"/>
                <w:sz w:val="24"/>
                <w:szCs w:val="24"/>
              </w:rPr>
              <w:t>67.464</w:t>
            </w:r>
          </w:p>
        </w:tc>
        <w:tc>
          <w:tcPr>
            <w:tcW w:w="2258" w:type="dxa"/>
          </w:tcPr>
          <w:p w:rsidR="00B361ED" w:rsidRPr="00B361ED" w:rsidRDefault="00B361ED" w:rsidP="00B361ED">
            <w:pPr>
              <w:spacing w:after="0" w:line="240" w:lineRule="auto"/>
              <w:jc w:val="center"/>
              <w:rPr>
                <w:rFonts w:ascii="Times New Roman" w:hAnsi="Times New Roman"/>
                <w:sz w:val="24"/>
                <w:szCs w:val="24"/>
              </w:rPr>
            </w:pPr>
            <w:r w:rsidRPr="00B361ED">
              <w:rPr>
                <w:rFonts w:ascii="Times New Roman" w:hAnsi="Times New Roman"/>
                <w:sz w:val="24"/>
                <w:szCs w:val="24"/>
              </w:rPr>
              <w:t>74.361</w:t>
            </w:r>
          </w:p>
        </w:tc>
      </w:tr>
      <w:tr w:rsidR="00B361ED" w:rsidRPr="00B361ED" w:rsidTr="00CF3BC4">
        <w:tc>
          <w:tcPr>
            <w:tcW w:w="2576" w:type="dxa"/>
          </w:tcPr>
          <w:p w:rsidR="00B361ED" w:rsidRPr="00B361ED" w:rsidRDefault="00B361ED" w:rsidP="00B361ED">
            <w:pPr>
              <w:spacing w:after="0" w:line="240" w:lineRule="auto"/>
              <w:rPr>
                <w:rFonts w:ascii="Times New Roman" w:hAnsi="Times New Roman"/>
                <w:sz w:val="24"/>
                <w:szCs w:val="24"/>
              </w:rPr>
            </w:pPr>
            <w:r w:rsidRPr="00B361ED">
              <w:rPr>
                <w:rFonts w:ascii="Times New Roman" w:hAnsi="Times New Roman"/>
                <w:sz w:val="24"/>
                <w:szCs w:val="24"/>
              </w:rPr>
              <w:t>Noćenja</w:t>
            </w:r>
          </w:p>
        </w:tc>
        <w:tc>
          <w:tcPr>
            <w:tcW w:w="2258" w:type="dxa"/>
          </w:tcPr>
          <w:p w:rsidR="00B361ED" w:rsidRPr="00B361ED" w:rsidRDefault="00B361ED" w:rsidP="00B361ED">
            <w:pPr>
              <w:spacing w:after="0" w:line="240" w:lineRule="auto"/>
              <w:jc w:val="center"/>
              <w:rPr>
                <w:rFonts w:ascii="Times New Roman" w:hAnsi="Times New Roman"/>
                <w:sz w:val="24"/>
                <w:szCs w:val="24"/>
              </w:rPr>
            </w:pPr>
            <w:r w:rsidRPr="00B361ED">
              <w:rPr>
                <w:rFonts w:ascii="Times New Roman" w:hAnsi="Times New Roman"/>
                <w:sz w:val="24"/>
                <w:szCs w:val="24"/>
              </w:rPr>
              <w:t>439.026</w:t>
            </w:r>
          </w:p>
        </w:tc>
        <w:tc>
          <w:tcPr>
            <w:tcW w:w="2258" w:type="dxa"/>
          </w:tcPr>
          <w:p w:rsidR="00B361ED" w:rsidRPr="00B361ED" w:rsidRDefault="00B361ED" w:rsidP="00B361ED">
            <w:pPr>
              <w:spacing w:after="0" w:line="240" w:lineRule="auto"/>
              <w:jc w:val="center"/>
              <w:rPr>
                <w:rFonts w:ascii="Times New Roman" w:hAnsi="Times New Roman"/>
                <w:sz w:val="24"/>
                <w:szCs w:val="24"/>
              </w:rPr>
            </w:pPr>
            <w:r w:rsidRPr="00B361ED">
              <w:rPr>
                <w:rFonts w:ascii="Times New Roman" w:hAnsi="Times New Roman"/>
                <w:sz w:val="24"/>
                <w:szCs w:val="24"/>
              </w:rPr>
              <w:t>678.224</w:t>
            </w:r>
          </w:p>
        </w:tc>
        <w:tc>
          <w:tcPr>
            <w:tcW w:w="2258" w:type="dxa"/>
          </w:tcPr>
          <w:p w:rsidR="00B361ED" w:rsidRPr="00B361ED" w:rsidRDefault="00B361ED" w:rsidP="00B361ED">
            <w:pPr>
              <w:spacing w:after="0" w:line="240" w:lineRule="auto"/>
              <w:jc w:val="center"/>
              <w:rPr>
                <w:rFonts w:ascii="Times New Roman" w:hAnsi="Times New Roman"/>
                <w:sz w:val="24"/>
                <w:szCs w:val="24"/>
              </w:rPr>
            </w:pPr>
            <w:r w:rsidRPr="00B361ED">
              <w:rPr>
                <w:rFonts w:ascii="Times New Roman" w:hAnsi="Times New Roman"/>
                <w:sz w:val="24"/>
                <w:szCs w:val="24"/>
              </w:rPr>
              <w:t>733.542</w:t>
            </w:r>
          </w:p>
        </w:tc>
      </w:tr>
    </w:tbl>
    <w:p w:rsidR="00B361ED" w:rsidRPr="00B361ED" w:rsidRDefault="00B361ED" w:rsidP="00B361ED">
      <w:pPr>
        <w:rPr>
          <w:rFonts w:ascii="Times New Roman" w:eastAsiaTheme="minorEastAsia" w:hAnsi="Times New Roman"/>
          <w:b/>
          <w:sz w:val="24"/>
          <w:szCs w:val="24"/>
        </w:rPr>
      </w:pPr>
      <w:r w:rsidRPr="00B361ED">
        <w:rPr>
          <w:rFonts w:ascii="Times New Roman" w:eastAsiaTheme="minorEastAsia" w:hAnsi="Times New Roman"/>
          <w:sz w:val="24"/>
          <w:szCs w:val="24"/>
        </w:rPr>
        <w:t xml:space="preserve">                                                                                                        </w:t>
      </w:r>
      <w:proofErr w:type="gramStart"/>
      <w:r w:rsidRPr="00B361ED">
        <w:rPr>
          <w:rFonts w:ascii="Times New Roman" w:eastAsiaTheme="minorEastAsia" w:hAnsi="Times New Roman"/>
          <w:b/>
          <w:sz w:val="24"/>
          <w:szCs w:val="24"/>
        </w:rPr>
        <w:t>Izvor:Monstat</w:t>
      </w:r>
      <w:proofErr w:type="gramEnd"/>
      <w:r w:rsidRPr="00B361ED">
        <w:rPr>
          <w:rFonts w:ascii="Times New Roman" w:eastAsiaTheme="minorEastAsia" w:hAnsi="Times New Roman"/>
          <w:b/>
          <w:sz w:val="24"/>
          <w:szCs w:val="24"/>
        </w:rPr>
        <w:t xml:space="preserve">       </w:t>
      </w:r>
    </w:p>
    <w:p w:rsidR="00B361ED" w:rsidRPr="00B361ED" w:rsidRDefault="00B361ED" w:rsidP="00B361ED">
      <w:pPr>
        <w:rPr>
          <w:rFonts w:ascii="Times New Roman" w:eastAsiaTheme="minorEastAsia" w:hAnsi="Times New Roman"/>
          <w:sz w:val="24"/>
          <w:szCs w:val="24"/>
        </w:rPr>
      </w:pPr>
      <w:r w:rsidRPr="00B361ED">
        <w:rPr>
          <w:rFonts w:ascii="Times New Roman" w:eastAsiaTheme="minorEastAsia" w:hAnsi="Times New Roman"/>
          <w:sz w:val="24"/>
          <w:szCs w:val="24"/>
        </w:rPr>
        <w:t xml:space="preserve">Broj posjetioca je bilježio ekspanzivan rast u odnosu </w:t>
      </w:r>
      <w:r w:rsidR="0027012A">
        <w:rPr>
          <w:rFonts w:ascii="Times New Roman" w:eastAsiaTheme="minorEastAsia" w:hAnsi="Times New Roman"/>
          <w:sz w:val="24"/>
          <w:szCs w:val="24"/>
        </w:rPr>
        <w:t>na svaku prethodnu godinu, kao i</w:t>
      </w:r>
      <w:r w:rsidRPr="00B361ED">
        <w:rPr>
          <w:rFonts w:ascii="Times New Roman" w:eastAsiaTheme="minorEastAsia" w:hAnsi="Times New Roman"/>
          <w:sz w:val="24"/>
          <w:szCs w:val="24"/>
        </w:rPr>
        <w:t xml:space="preserve"> broj ostvarenih noćenja, tako da je u 2016-toj godini broj posjetioca/noćenja veći u odnosu na 2015-tu za cca 11% ili za 22% u odnosu na 2014-tu godinu.</w:t>
      </w:r>
    </w:p>
    <w:p w:rsidR="00B361ED" w:rsidRDefault="00B361ED" w:rsidP="00B361ED">
      <w:pPr>
        <w:keepNext/>
        <w:spacing w:before="240" w:after="60" w:line="240" w:lineRule="auto"/>
        <w:jc w:val="both"/>
        <w:outlineLvl w:val="0"/>
        <w:rPr>
          <w:rFonts w:ascii="Times New Roman" w:eastAsiaTheme="majorEastAsia" w:hAnsi="Times New Roman"/>
          <w:bCs/>
          <w:iCs/>
          <w:kern w:val="32"/>
          <w:sz w:val="24"/>
          <w:szCs w:val="24"/>
        </w:rPr>
      </w:pPr>
      <w:r w:rsidRPr="00B361ED">
        <w:rPr>
          <w:rFonts w:ascii="Times New Roman" w:eastAsiaTheme="majorEastAsia" w:hAnsi="Times New Roman"/>
          <w:bCs/>
          <w:iCs/>
          <w:kern w:val="32"/>
          <w:sz w:val="24"/>
          <w:szCs w:val="24"/>
        </w:rPr>
        <w:t xml:space="preserve">Godišnji finansijski izvještaj Turističke organizacije Tivat, koji je sastavni dio Izvještaja o radu, pripremljen je od strane Stručne službe Organizacije i servisa za knjigovodstvo „VIK </w:t>
      </w:r>
      <w:proofErr w:type="gramStart"/>
      <w:r w:rsidRPr="00B361ED">
        <w:rPr>
          <w:rFonts w:ascii="Times New Roman" w:eastAsiaTheme="majorEastAsia" w:hAnsi="Times New Roman"/>
          <w:bCs/>
          <w:iCs/>
          <w:kern w:val="32"/>
          <w:sz w:val="24"/>
          <w:szCs w:val="24"/>
        </w:rPr>
        <w:t>Tivat“</w:t>
      </w:r>
      <w:proofErr w:type="gramEnd"/>
      <w:r w:rsidRPr="00B361ED">
        <w:rPr>
          <w:rFonts w:ascii="Times New Roman" w:eastAsiaTheme="majorEastAsia" w:hAnsi="Times New Roman"/>
          <w:bCs/>
          <w:iCs/>
          <w:kern w:val="32"/>
          <w:sz w:val="24"/>
          <w:szCs w:val="24"/>
        </w:rPr>
        <w:t>, koji je radilo stručne računovodstvene poslove, da bi se Nadzorni i Izvršni odbor upoznali sa finansijskim rezultatima i podnijeli isti na razmatranje i usvajanje Skupštini Organizacije.</w:t>
      </w:r>
    </w:p>
    <w:p w:rsidR="00B361ED" w:rsidRDefault="00B361ED" w:rsidP="00B361ED">
      <w:pPr>
        <w:keepNext/>
        <w:spacing w:before="240" w:after="60" w:line="240" w:lineRule="auto"/>
        <w:jc w:val="both"/>
        <w:outlineLvl w:val="0"/>
        <w:rPr>
          <w:rFonts w:ascii="Times New Roman" w:eastAsiaTheme="majorEastAsia" w:hAnsi="Times New Roman"/>
          <w:bCs/>
          <w:iCs/>
          <w:kern w:val="32"/>
          <w:sz w:val="24"/>
          <w:szCs w:val="24"/>
        </w:rPr>
      </w:pPr>
      <w:r w:rsidRPr="00B361ED">
        <w:rPr>
          <w:rFonts w:ascii="Times New Roman" w:eastAsiaTheme="majorEastAsia" w:hAnsi="Times New Roman"/>
          <w:bCs/>
          <w:iCs/>
          <w:kern w:val="32"/>
          <w:sz w:val="24"/>
          <w:szCs w:val="24"/>
        </w:rPr>
        <w:t xml:space="preserve">Stanje dugovanja po osnovu boravišne takse, turističke takse i članskog doprinosa prati </w:t>
      </w:r>
      <w:r w:rsidR="0027012A">
        <w:rPr>
          <w:rFonts w:ascii="Times New Roman" w:eastAsiaTheme="majorEastAsia" w:hAnsi="Times New Roman"/>
          <w:bCs/>
          <w:iCs/>
          <w:kern w:val="32"/>
          <w:sz w:val="24"/>
          <w:szCs w:val="24"/>
        </w:rPr>
        <w:t>Sekretarijat za finansije</w:t>
      </w:r>
      <w:r w:rsidR="001202D3">
        <w:rPr>
          <w:rFonts w:ascii="Times New Roman" w:eastAsiaTheme="majorEastAsia" w:hAnsi="Times New Roman"/>
          <w:bCs/>
          <w:iCs/>
          <w:kern w:val="32"/>
          <w:sz w:val="24"/>
          <w:szCs w:val="24"/>
        </w:rPr>
        <w:t xml:space="preserve"> i </w:t>
      </w:r>
      <w:r w:rsidR="00302690">
        <w:rPr>
          <w:rFonts w:ascii="Times New Roman" w:eastAsiaTheme="majorEastAsia" w:hAnsi="Times New Roman"/>
          <w:bCs/>
          <w:iCs/>
          <w:kern w:val="32"/>
          <w:sz w:val="24"/>
          <w:szCs w:val="24"/>
        </w:rPr>
        <w:t xml:space="preserve">lokalne </w:t>
      </w:r>
      <w:r w:rsidR="001202D3">
        <w:rPr>
          <w:rFonts w:ascii="Times New Roman" w:eastAsiaTheme="majorEastAsia" w:hAnsi="Times New Roman"/>
          <w:bCs/>
          <w:iCs/>
          <w:kern w:val="32"/>
          <w:sz w:val="24"/>
          <w:szCs w:val="24"/>
        </w:rPr>
        <w:t>javne prihode</w:t>
      </w:r>
      <w:r w:rsidR="0027012A">
        <w:rPr>
          <w:rFonts w:ascii="Times New Roman" w:eastAsiaTheme="majorEastAsia" w:hAnsi="Times New Roman"/>
          <w:bCs/>
          <w:iCs/>
          <w:kern w:val="32"/>
          <w:sz w:val="24"/>
          <w:szCs w:val="24"/>
        </w:rPr>
        <w:t>, kao i</w:t>
      </w:r>
      <w:r w:rsidRPr="00B361ED">
        <w:rPr>
          <w:rFonts w:ascii="Times New Roman" w:eastAsiaTheme="majorEastAsia" w:hAnsi="Times New Roman"/>
          <w:bCs/>
          <w:iCs/>
          <w:kern w:val="32"/>
          <w:sz w:val="24"/>
          <w:szCs w:val="24"/>
        </w:rPr>
        <w:t xml:space="preserve"> Sekretarijat</w:t>
      </w:r>
      <w:r w:rsidR="0027012A">
        <w:rPr>
          <w:rFonts w:ascii="Times New Roman" w:eastAsiaTheme="majorEastAsia" w:hAnsi="Times New Roman"/>
          <w:bCs/>
          <w:iCs/>
          <w:kern w:val="32"/>
          <w:sz w:val="24"/>
          <w:szCs w:val="24"/>
        </w:rPr>
        <w:t xml:space="preserve"> za ekonomski razvoj i</w:t>
      </w:r>
      <w:r w:rsidRPr="00B361ED">
        <w:rPr>
          <w:rFonts w:ascii="Times New Roman" w:eastAsiaTheme="majorEastAsia" w:hAnsi="Times New Roman"/>
          <w:bCs/>
          <w:iCs/>
          <w:kern w:val="32"/>
          <w:sz w:val="24"/>
          <w:szCs w:val="24"/>
        </w:rPr>
        <w:t xml:space="preserve"> preduzetništvo opštine Tivat. </w:t>
      </w:r>
    </w:p>
    <w:p w:rsidR="00850597" w:rsidRDefault="00850597" w:rsidP="00850597">
      <w:pPr>
        <w:keepNext/>
        <w:spacing w:before="240" w:after="60" w:line="240" w:lineRule="auto"/>
        <w:jc w:val="both"/>
        <w:outlineLvl w:val="0"/>
        <w:rPr>
          <w:rFonts w:ascii="Times New Roman" w:eastAsiaTheme="majorEastAsia" w:hAnsi="Times New Roman"/>
          <w:bCs/>
          <w:iCs/>
          <w:kern w:val="32"/>
          <w:sz w:val="24"/>
          <w:szCs w:val="24"/>
        </w:rPr>
      </w:pPr>
      <w:r>
        <w:rPr>
          <w:rFonts w:ascii="Times New Roman" w:eastAsiaTheme="majorEastAsia" w:hAnsi="Times New Roman"/>
          <w:bCs/>
          <w:iCs/>
          <w:kern w:val="32"/>
          <w:sz w:val="24"/>
          <w:szCs w:val="24"/>
        </w:rPr>
        <w:t>Po evidenciji ovog Sekretarijata stanje dugovanja na 31.12.2016 godine je</w:t>
      </w:r>
      <w:r w:rsidR="00AE475A">
        <w:rPr>
          <w:rFonts w:ascii="Times New Roman" w:eastAsiaTheme="majorEastAsia" w:hAnsi="Times New Roman"/>
          <w:bCs/>
          <w:iCs/>
          <w:kern w:val="32"/>
          <w:sz w:val="24"/>
          <w:szCs w:val="24"/>
        </w:rPr>
        <w:t xml:space="preserve"> bilo</w:t>
      </w:r>
      <w:r>
        <w:rPr>
          <w:rFonts w:ascii="Times New Roman" w:eastAsiaTheme="majorEastAsia" w:hAnsi="Times New Roman"/>
          <w:bCs/>
          <w:iCs/>
          <w:kern w:val="32"/>
          <w:sz w:val="24"/>
          <w:szCs w:val="24"/>
        </w:rPr>
        <w:t>:</w:t>
      </w:r>
    </w:p>
    <w:p w:rsidR="00850597" w:rsidRDefault="00AE475A" w:rsidP="00AE475A">
      <w:pPr>
        <w:pStyle w:val="ListParagraph"/>
        <w:keepNext/>
        <w:numPr>
          <w:ilvl w:val="0"/>
          <w:numId w:val="5"/>
        </w:numPr>
        <w:spacing w:before="240" w:after="60" w:line="240" w:lineRule="auto"/>
        <w:jc w:val="both"/>
        <w:outlineLvl w:val="0"/>
        <w:rPr>
          <w:rFonts w:ascii="Times New Roman" w:eastAsiaTheme="majorEastAsia" w:hAnsi="Times New Roman"/>
          <w:bCs/>
          <w:iCs/>
          <w:kern w:val="32"/>
          <w:sz w:val="24"/>
          <w:szCs w:val="24"/>
        </w:rPr>
      </w:pPr>
      <w:r>
        <w:rPr>
          <w:rFonts w:ascii="Times New Roman" w:eastAsiaTheme="majorEastAsia" w:hAnsi="Times New Roman"/>
          <w:bCs/>
          <w:iCs/>
          <w:kern w:val="32"/>
          <w:sz w:val="24"/>
          <w:szCs w:val="24"/>
        </w:rPr>
        <w:t>Boravišna taksa (pravna lica) – 25,877.46 eur</w:t>
      </w:r>
    </w:p>
    <w:p w:rsidR="00AE475A" w:rsidRDefault="00AE475A" w:rsidP="00AE475A">
      <w:pPr>
        <w:pStyle w:val="ListParagraph"/>
        <w:keepNext/>
        <w:numPr>
          <w:ilvl w:val="0"/>
          <w:numId w:val="5"/>
        </w:numPr>
        <w:spacing w:before="240" w:after="60" w:line="240" w:lineRule="auto"/>
        <w:jc w:val="both"/>
        <w:outlineLvl w:val="0"/>
        <w:rPr>
          <w:rFonts w:ascii="Times New Roman" w:eastAsiaTheme="majorEastAsia" w:hAnsi="Times New Roman"/>
          <w:bCs/>
          <w:iCs/>
          <w:kern w:val="32"/>
          <w:sz w:val="24"/>
          <w:szCs w:val="24"/>
        </w:rPr>
      </w:pPr>
      <w:r>
        <w:rPr>
          <w:rFonts w:ascii="Times New Roman" w:eastAsiaTheme="majorEastAsia" w:hAnsi="Times New Roman"/>
          <w:bCs/>
          <w:iCs/>
          <w:kern w:val="32"/>
          <w:sz w:val="24"/>
          <w:szCs w:val="24"/>
        </w:rPr>
        <w:t xml:space="preserve">Članski doprinos (veći pravni dužnici) – 61,620.72 eur </w:t>
      </w:r>
    </w:p>
    <w:p w:rsidR="00AE475A" w:rsidRPr="00AE475A" w:rsidRDefault="00AE475A" w:rsidP="00AE475A">
      <w:pPr>
        <w:pStyle w:val="ListParagraph"/>
        <w:keepNext/>
        <w:numPr>
          <w:ilvl w:val="0"/>
          <w:numId w:val="5"/>
        </w:numPr>
        <w:spacing w:before="240" w:after="60" w:line="240" w:lineRule="auto"/>
        <w:jc w:val="both"/>
        <w:outlineLvl w:val="0"/>
        <w:rPr>
          <w:rFonts w:ascii="Times New Roman" w:eastAsiaTheme="majorEastAsia" w:hAnsi="Times New Roman"/>
          <w:bCs/>
          <w:iCs/>
          <w:kern w:val="32"/>
          <w:sz w:val="24"/>
          <w:szCs w:val="24"/>
        </w:rPr>
      </w:pPr>
      <w:r>
        <w:rPr>
          <w:rFonts w:ascii="Times New Roman" w:eastAsiaTheme="majorEastAsia" w:hAnsi="Times New Roman"/>
          <w:bCs/>
          <w:iCs/>
          <w:kern w:val="32"/>
          <w:sz w:val="24"/>
          <w:szCs w:val="24"/>
        </w:rPr>
        <w:t>Turistička taksa – 221,698.70</w:t>
      </w:r>
    </w:p>
    <w:p w:rsidR="00B361ED" w:rsidRPr="00B361ED" w:rsidRDefault="00B361ED" w:rsidP="00B361ED">
      <w:pPr>
        <w:spacing w:after="0" w:line="240" w:lineRule="auto"/>
        <w:jc w:val="both"/>
        <w:rPr>
          <w:rFonts w:ascii="Times New Roman" w:hAnsi="Times New Roman"/>
          <w:iCs/>
          <w:sz w:val="24"/>
          <w:szCs w:val="24"/>
        </w:rPr>
      </w:pPr>
    </w:p>
    <w:p w:rsidR="00B361ED" w:rsidRPr="00B361ED" w:rsidRDefault="00B361ED" w:rsidP="00B361ED">
      <w:pPr>
        <w:spacing w:after="0" w:line="240" w:lineRule="auto"/>
        <w:jc w:val="both"/>
        <w:rPr>
          <w:rFonts w:ascii="Times New Roman" w:hAnsi="Times New Roman"/>
          <w:iCs/>
          <w:sz w:val="24"/>
          <w:szCs w:val="24"/>
        </w:rPr>
      </w:pPr>
      <w:r w:rsidRPr="00B361ED">
        <w:rPr>
          <w:rFonts w:ascii="Times New Roman" w:hAnsi="Times New Roman"/>
          <w:iCs/>
          <w:sz w:val="24"/>
          <w:szCs w:val="24"/>
        </w:rPr>
        <w:lastRenderedPageBreak/>
        <w:t>Izvještaj o radu 2016 podnosi</w:t>
      </w:r>
    </w:p>
    <w:p w:rsidR="00B361ED" w:rsidRPr="00B361ED" w:rsidRDefault="00B361ED" w:rsidP="00B361ED">
      <w:pPr>
        <w:spacing w:after="0" w:line="240" w:lineRule="auto"/>
        <w:jc w:val="both"/>
        <w:rPr>
          <w:rFonts w:ascii="Times New Roman" w:hAnsi="Times New Roman"/>
          <w:iCs/>
          <w:sz w:val="24"/>
          <w:szCs w:val="24"/>
        </w:rPr>
      </w:pPr>
      <w:proofErr w:type="gramStart"/>
      <w:r w:rsidRPr="00B361ED">
        <w:rPr>
          <w:rFonts w:ascii="Times New Roman" w:hAnsi="Times New Roman"/>
          <w:iCs/>
          <w:sz w:val="24"/>
          <w:szCs w:val="24"/>
        </w:rPr>
        <w:t>za  Stručnu</w:t>
      </w:r>
      <w:proofErr w:type="gramEnd"/>
      <w:r w:rsidRPr="00B361ED">
        <w:rPr>
          <w:rFonts w:ascii="Times New Roman" w:hAnsi="Times New Roman"/>
          <w:iCs/>
          <w:sz w:val="24"/>
          <w:szCs w:val="24"/>
        </w:rPr>
        <w:t xml:space="preserve"> službu TO opštine Tivat</w:t>
      </w:r>
    </w:p>
    <w:p w:rsidR="00B361ED" w:rsidRPr="00B361ED" w:rsidRDefault="00B361ED" w:rsidP="00B361ED">
      <w:pPr>
        <w:spacing w:after="0" w:line="240" w:lineRule="auto"/>
        <w:jc w:val="both"/>
        <w:rPr>
          <w:rFonts w:ascii="Times New Roman" w:hAnsi="Times New Roman"/>
          <w:iCs/>
          <w:sz w:val="24"/>
          <w:szCs w:val="24"/>
        </w:rPr>
      </w:pPr>
      <w:r w:rsidRPr="00B361ED">
        <w:rPr>
          <w:rFonts w:ascii="Times New Roman" w:hAnsi="Times New Roman"/>
          <w:iCs/>
          <w:sz w:val="24"/>
          <w:szCs w:val="24"/>
        </w:rPr>
        <w:t>Direktorica</w:t>
      </w:r>
    </w:p>
    <w:p w:rsidR="00B361ED" w:rsidRPr="009E32D2" w:rsidRDefault="00B361ED" w:rsidP="009E32D2">
      <w:pPr>
        <w:spacing w:after="0" w:line="240" w:lineRule="auto"/>
        <w:jc w:val="both"/>
        <w:rPr>
          <w:rFonts w:ascii="Times New Roman" w:hAnsi="Times New Roman"/>
          <w:iCs/>
          <w:sz w:val="24"/>
          <w:szCs w:val="24"/>
        </w:rPr>
      </w:pPr>
      <w:r w:rsidRPr="00B361ED">
        <w:rPr>
          <w:rFonts w:ascii="Times New Roman" w:hAnsi="Times New Roman"/>
          <w:iCs/>
          <w:sz w:val="24"/>
          <w:szCs w:val="24"/>
        </w:rPr>
        <w:t>Gabrijela Glavočić</w:t>
      </w:r>
    </w:p>
    <w:sectPr w:rsidR="00B361ED" w:rsidRPr="009E32D2" w:rsidSect="003A1167">
      <w:headerReference w:type="default" r:id="rId7"/>
      <w:footerReference w:type="default" r:id="rId8"/>
      <w:pgSz w:w="12240" w:h="15840"/>
      <w:pgMar w:top="1134" w:right="851"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6EFB" w:rsidRDefault="006A6EFB">
      <w:r>
        <w:separator/>
      </w:r>
    </w:p>
  </w:endnote>
  <w:endnote w:type="continuationSeparator" w:id="0">
    <w:p w:rsidR="006A6EFB" w:rsidRDefault="006A6E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49E1" w:rsidRPr="004D3DBA" w:rsidRDefault="009949E1" w:rsidP="00C9151E">
    <w:pPr>
      <w:pStyle w:val="Footer"/>
      <w:pBdr>
        <w:top w:val="single" w:sz="4" w:space="1" w:color="auto"/>
      </w:pBdr>
      <w:spacing w:after="0"/>
      <w:jc w:val="center"/>
      <w:rPr>
        <w:lang w:val="sr-Latn-CS"/>
      </w:rPr>
    </w:pPr>
    <w:r w:rsidRPr="004D3DBA">
      <w:rPr>
        <w:lang w:val="sr-Latn-CS"/>
      </w:rPr>
      <w:t>Turistička organi</w:t>
    </w:r>
    <w:r w:rsidR="00D3239C">
      <w:rPr>
        <w:lang w:val="sr-Latn-CS"/>
      </w:rPr>
      <w:t>zacija Tivat, ul. Palih boraca 19</w:t>
    </w:r>
    <w:r w:rsidRPr="004D3DBA">
      <w:rPr>
        <w:lang w:val="sr-Latn-CS"/>
      </w:rPr>
      <w:t>, 85320 Tivat, Crna Gora</w:t>
    </w:r>
  </w:p>
  <w:p w:rsidR="00C9151E" w:rsidRDefault="009949E1" w:rsidP="00C9151E">
    <w:pPr>
      <w:pStyle w:val="Footer"/>
      <w:pBdr>
        <w:top w:val="single" w:sz="4" w:space="1" w:color="auto"/>
      </w:pBdr>
      <w:spacing w:after="0"/>
      <w:jc w:val="center"/>
      <w:rPr>
        <w:lang w:val="sr-Latn-CS"/>
      </w:rPr>
    </w:pPr>
    <w:r w:rsidRPr="004D3DBA">
      <w:rPr>
        <w:lang w:val="sr-Latn-CS"/>
      </w:rPr>
      <w:t xml:space="preserve">Tel: +382 32 671 324 – </w:t>
    </w:r>
    <w:r w:rsidR="00D3239C">
      <w:rPr>
        <w:lang w:val="sr-Latn-CS"/>
      </w:rPr>
      <w:t xml:space="preserve">Tel: +382 660 165 - </w:t>
    </w:r>
    <w:r w:rsidRPr="004D3DBA">
      <w:rPr>
        <w:lang w:val="sr-Latn-CS"/>
      </w:rPr>
      <w:t xml:space="preserve">Tel / Fax: +382 32 671 323, </w:t>
    </w:r>
  </w:p>
  <w:p w:rsidR="00F24A72" w:rsidRDefault="006A6EFB" w:rsidP="00C9151E">
    <w:pPr>
      <w:pStyle w:val="Footer"/>
      <w:pBdr>
        <w:top w:val="single" w:sz="4" w:space="1" w:color="auto"/>
      </w:pBdr>
      <w:spacing w:after="0"/>
      <w:jc w:val="center"/>
      <w:rPr>
        <w:lang w:val="sr-Latn-CS"/>
      </w:rPr>
    </w:pPr>
    <w:hyperlink r:id="rId1" w:history="1">
      <w:r w:rsidR="009949E1" w:rsidRPr="004D3DBA">
        <w:rPr>
          <w:rStyle w:val="Hyperlink"/>
          <w:color w:val="auto"/>
          <w:u w:val="none"/>
          <w:lang w:val="sr-Latn-CS"/>
        </w:rPr>
        <w:t>www.tivat.travel</w:t>
      </w:r>
    </w:hyperlink>
    <w:r w:rsidR="00D3239C">
      <w:rPr>
        <w:lang w:val="sr-Latn-CS"/>
      </w:rPr>
      <w:t xml:space="preserve">, e-mail: </w:t>
    </w:r>
    <w:r w:rsidR="009949E1" w:rsidRPr="004D3DBA">
      <w:rPr>
        <w:lang w:val="sr-Latn-CS"/>
      </w:rPr>
      <w:t>tivat</w:t>
    </w:r>
    <w:r w:rsidR="00D3239C">
      <w:rPr>
        <w:lang w:val="sr-Latn-CS"/>
      </w:rPr>
      <w:t xml:space="preserve">ravel@gmail.com,  </w:t>
    </w:r>
  </w:p>
  <w:p w:rsidR="009949E1" w:rsidRPr="004D3DBA" w:rsidRDefault="009949E1" w:rsidP="00C9151E">
    <w:pPr>
      <w:pStyle w:val="Footer"/>
      <w:pBdr>
        <w:top w:val="single" w:sz="4" w:space="1" w:color="auto"/>
      </w:pBdr>
      <w:spacing w:after="0"/>
      <w:jc w:val="center"/>
      <w:rPr>
        <w:lang w:val="sr-Latn-CS"/>
      </w:rPr>
    </w:pPr>
    <w:r w:rsidRPr="004D3DBA">
      <w:rPr>
        <w:lang w:val="sr-Latn-CS"/>
      </w:rPr>
      <w:t>ŽIRO RAČUN: 510 8953 50 CKB</w:t>
    </w:r>
  </w:p>
  <w:p w:rsidR="009949E1" w:rsidRPr="004D3DBA" w:rsidRDefault="009949E1" w:rsidP="00C9151E">
    <w:pPr>
      <w:pStyle w:val="Footer"/>
      <w:pBdr>
        <w:top w:val="single" w:sz="4" w:space="1" w:color="auto"/>
      </w:pBdr>
      <w:spacing w:after="0"/>
      <w:jc w:val="center"/>
      <w:rPr>
        <w:lang w:val="sr-Latn-CS"/>
      </w:rPr>
    </w:pPr>
    <w:r w:rsidRPr="004D3DBA">
      <w:rPr>
        <w:lang w:val="sr-Latn-CS"/>
      </w:rPr>
      <w:t>PIB: 02428695</w:t>
    </w:r>
  </w:p>
  <w:p w:rsidR="009949E1" w:rsidRDefault="009949E1" w:rsidP="00C9151E">
    <w:pPr>
      <w:pStyle w:val="Footer"/>
      <w:spacing w:after="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6EFB" w:rsidRDefault="006A6EFB">
      <w:r>
        <w:separator/>
      </w:r>
    </w:p>
  </w:footnote>
  <w:footnote w:type="continuationSeparator" w:id="0">
    <w:p w:rsidR="006A6EFB" w:rsidRDefault="006A6EF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49E1" w:rsidRPr="007F20BC" w:rsidRDefault="00882E81" w:rsidP="007F20BC">
    <w:pPr>
      <w:pStyle w:val="Header"/>
      <w:jc w:val="center"/>
    </w:pPr>
    <w:r>
      <w:rPr>
        <w:noProof/>
      </w:rPr>
      <w:drawing>
        <wp:inline distT="0" distB="0" distL="0" distR="0">
          <wp:extent cx="857250" cy="723900"/>
          <wp:effectExtent l="19050" t="0" r="0" b="0"/>
          <wp:docPr id="1" name="Picture 1" descr="TO TIV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 TIVAT 1"/>
                  <pic:cNvPicPr>
                    <a:picLocks noChangeAspect="1" noChangeArrowheads="1"/>
                  </pic:cNvPicPr>
                </pic:nvPicPr>
                <pic:blipFill>
                  <a:blip r:embed="rId1"/>
                  <a:srcRect/>
                  <a:stretch>
                    <a:fillRect/>
                  </a:stretch>
                </pic:blipFill>
                <pic:spPr bwMode="auto">
                  <a:xfrm>
                    <a:off x="0" y="0"/>
                    <a:ext cx="857250" cy="723900"/>
                  </a:xfrm>
                  <a:prstGeom prst="rect">
                    <a:avLst/>
                  </a:prstGeom>
                  <a:noFill/>
                  <a:ln w="9525">
                    <a:noFill/>
                    <a:miter lim="800000"/>
                    <a:headEnd/>
                    <a:tailEnd/>
                  </a:ln>
                </pic:spPr>
              </pic:pic>
            </a:graphicData>
          </a:graphic>
        </wp:inline>
      </w:drawing>
    </w:r>
  </w:p>
  <w:p w:rsidR="009949E1" w:rsidRDefault="009949E1" w:rsidP="009949E1">
    <w:pPr>
      <w:pStyle w:val="Header"/>
      <w:jc w:val="center"/>
      <w:rPr>
        <w:b/>
        <w:sz w:val="28"/>
        <w:szCs w:val="28"/>
        <w:lang w:val="sr-Latn-CS"/>
      </w:rPr>
    </w:pPr>
    <w:r w:rsidRPr="00E36F89">
      <w:rPr>
        <w:b/>
        <w:sz w:val="28"/>
        <w:szCs w:val="28"/>
        <w:lang w:val="sr-Latn-CS"/>
      </w:rPr>
      <w:t>TURISTIČKA ORGANIZACIJA TIVAT</w:t>
    </w:r>
  </w:p>
  <w:p w:rsidR="009949E1" w:rsidRPr="00D8011A" w:rsidRDefault="006A6EFB" w:rsidP="00D8011A">
    <w:pPr>
      <w:pStyle w:val="Header"/>
      <w:pBdr>
        <w:bottom w:val="single" w:sz="6" w:space="1" w:color="auto"/>
      </w:pBdr>
      <w:jc w:val="center"/>
      <w:rPr>
        <w:b/>
        <w:lang w:val="sr-Latn-CS"/>
      </w:rPr>
    </w:pPr>
    <w:hyperlink r:id="rId2" w:history="1">
      <w:r w:rsidR="007F20BC" w:rsidRPr="00B33EC1">
        <w:rPr>
          <w:rStyle w:val="Hyperlink"/>
          <w:b/>
          <w:lang w:val="sr-Latn-CS"/>
        </w:rPr>
        <w:t>www.tivat.travel</w:t>
      </w:r>
    </w:hyperlink>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CE2099"/>
    <w:multiLevelType w:val="hybridMultilevel"/>
    <w:tmpl w:val="C0E00C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4B5CF2"/>
    <w:multiLevelType w:val="multilevel"/>
    <w:tmpl w:val="BB541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B526AB"/>
    <w:multiLevelType w:val="hybridMultilevel"/>
    <w:tmpl w:val="DB2849DC"/>
    <w:lvl w:ilvl="0" w:tplc="F13C1CE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1CD6E70"/>
    <w:multiLevelType w:val="hybridMultilevel"/>
    <w:tmpl w:val="3B70B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BFC7C15"/>
    <w:multiLevelType w:val="multilevel"/>
    <w:tmpl w:val="F1364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9E1"/>
    <w:rsid w:val="000228F9"/>
    <w:rsid w:val="00050B76"/>
    <w:rsid w:val="00054BDF"/>
    <w:rsid w:val="00067F6F"/>
    <w:rsid w:val="000765CA"/>
    <w:rsid w:val="00076BE6"/>
    <w:rsid w:val="00081546"/>
    <w:rsid w:val="000E00CB"/>
    <w:rsid w:val="000E6BAC"/>
    <w:rsid w:val="000F02DC"/>
    <w:rsid w:val="000F12ED"/>
    <w:rsid w:val="001202D3"/>
    <w:rsid w:val="001633B1"/>
    <w:rsid w:val="00180BB6"/>
    <w:rsid w:val="00187C57"/>
    <w:rsid w:val="001B0B7F"/>
    <w:rsid w:val="001B4C24"/>
    <w:rsid w:val="001D7E33"/>
    <w:rsid w:val="001F3A77"/>
    <w:rsid w:val="002648F8"/>
    <w:rsid w:val="0027012A"/>
    <w:rsid w:val="00277305"/>
    <w:rsid w:val="002E74F3"/>
    <w:rsid w:val="00302690"/>
    <w:rsid w:val="00306E40"/>
    <w:rsid w:val="00321051"/>
    <w:rsid w:val="003240CE"/>
    <w:rsid w:val="00326F36"/>
    <w:rsid w:val="003332CF"/>
    <w:rsid w:val="00333B18"/>
    <w:rsid w:val="0033690F"/>
    <w:rsid w:val="003402BC"/>
    <w:rsid w:val="003628ED"/>
    <w:rsid w:val="00373F87"/>
    <w:rsid w:val="003A1167"/>
    <w:rsid w:val="003A12CC"/>
    <w:rsid w:val="003A5775"/>
    <w:rsid w:val="003E5F00"/>
    <w:rsid w:val="00425B71"/>
    <w:rsid w:val="00426D2B"/>
    <w:rsid w:val="00450F1F"/>
    <w:rsid w:val="004922DD"/>
    <w:rsid w:val="00500712"/>
    <w:rsid w:val="0050369E"/>
    <w:rsid w:val="00505C87"/>
    <w:rsid w:val="005431E8"/>
    <w:rsid w:val="00554FDE"/>
    <w:rsid w:val="005767B5"/>
    <w:rsid w:val="005A4483"/>
    <w:rsid w:val="005B45DE"/>
    <w:rsid w:val="005C16DD"/>
    <w:rsid w:val="005F744C"/>
    <w:rsid w:val="006340B2"/>
    <w:rsid w:val="00637F00"/>
    <w:rsid w:val="00670150"/>
    <w:rsid w:val="006776F9"/>
    <w:rsid w:val="00690E97"/>
    <w:rsid w:val="006A6EFB"/>
    <w:rsid w:val="006C321A"/>
    <w:rsid w:val="006D130F"/>
    <w:rsid w:val="00720FE0"/>
    <w:rsid w:val="00733CE1"/>
    <w:rsid w:val="00742440"/>
    <w:rsid w:val="007F20BC"/>
    <w:rsid w:val="007F3CB8"/>
    <w:rsid w:val="0084274F"/>
    <w:rsid w:val="00850597"/>
    <w:rsid w:val="00856CAE"/>
    <w:rsid w:val="008777CE"/>
    <w:rsid w:val="00882E81"/>
    <w:rsid w:val="00892DDA"/>
    <w:rsid w:val="008A2763"/>
    <w:rsid w:val="008D168A"/>
    <w:rsid w:val="008F3F87"/>
    <w:rsid w:val="008F7915"/>
    <w:rsid w:val="00900D58"/>
    <w:rsid w:val="009475D4"/>
    <w:rsid w:val="00977CB9"/>
    <w:rsid w:val="0098107F"/>
    <w:rsid w:val="00986F6C"/>
    <w:rsid w:val="00991E0B"/>
    <w:rsid w:val="009949E1"/>
    <w:rsid w:val="009A2F6F"/>
    <w:rsid w:val="009C05EC"/>
    <w:rsid w:val="009E32D2"/>
    <w:rsid w:val="00A03D73"/>
    <w:rsid w:val="00A13B87"/>
    <w:rsid w:val="00A16FC7"/>
    <w:rsid w:val="00A178F8"/>
    <w:rsid w:val="00A20030"/>
    <w:rsid w:val="00A67A58"/>
    <w:rsid w:val="00AA1A84"/>
    <w:rsid w:val="00AD344E"/>
    <w:rsid w:val="00AE39B9"/>
    <w:rsid w:val="00AE475A"/>
    <w:rsid w:val="00AE64CC"/>
    <w:rsid w:val="00B226B3"/>
    <w:rsid w:val="00B361ED"/>
    <w:rsid w:val="00B37F14"/>
    <w:rsid w:val="00B47E57"/>
    <w:rsid w:val="00B84655"/>
    <w:rsid w:val="00BC2130"/>
    <w:rsid w:val="00C04801"/>
    <w:rsid w:val="00C072D4"/>
    <w:rsid w:val="00C4682E"/>
    <w:rsid w:val="00C84B0C"/>
    <w:rsid w:val="00C9151E"/>
    <w:rsid w:val="00C918D5"/>
    <w:rsid w:val="00C97862"/>
    <w:rsid w:val="00CA57F7"/>
    <w:rsid w:val="00CE136C"/>
    <w:rsid w:val="00D10A64"/>
    <w:rsid w:val="00D3239C"/>
    <w:rsid w:val="00D56160"/>
    <w:rsid w:val="00D601E4"/>
    <w:rsid w:val="00D8011A"/>
    <w:rsid w:val="00D83C09"/>
    <w:rsid w:val="00DA50AA"/>
    <w:rsid w:val="00DD39DA"/>
    <w:rsid w:val="00E14179"/>
    <w:rsid w:val="00E20601"/>
    <w:rsid w:val="00E20634"/>
    <w:rsid w:val="00E3693A"/>
    <w:rsid w:val="00E62E81"/>
    <w:rsid w:val="00E73B4D"/>
    <w:rsid w:val="00EA353B"/>
    <w:rsid w:val="00ED3EBC"/>
    <w:rsid w:val="00EF6D61"/>
    <w:rsid w:val="00F16804"/>
    <w:rsid w:val="00F24A72"/>
    <w:rsid w:val="00F57018"/>
    <w:rsid w:val="00F735E7"/>
    <w:rsid w:val="00F857CA"/>
    <w:rsid w:val="00FA5C0A"/>
    <w:rsid w:val="00FE69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02C5C7"/>
  <w15:docId w15:val="{B10F8FA4-D66B-4A64-8DB4-FC6FB605C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49E1"/>
    <w:pPr>
      <w:spacing w:after="200" w:line="276" w:lineRule="auto"/>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949E1"/>
    <w:pPr>
      <w:tabs>
        <w:tab w:val="center" w:pos="4320"/>
        <w:tab w:val="right" w:pos="8640"/>
      </w:tabs>
    </w:pPr>
  </w:style>
  <w:style w:type="paragraph" w:styleId="Footer">
    <w:name w:val="footer"/>
    <w:basedOn w:val="Normal"/>
    <w:rsid w:val="009949E1"/>
    <w:pPr>
      <w:tabs>
        <w:tab w:val="center" w:pos="4320"/>
        <w:tab w:val="right" w:pos="8640"/>
      </w:tabs>
    </w:pPr>
  </w:style>
  <w:style w:type="character" w:styleId="Hyperlink">
    <w:name w:val="Hyperlink"/>
    <w:basedOn w:val="DefaultParagraphFont"/>
    <w:rsid w:val="009949E1"/>
    <w:rPr>
      <w:color w:val="0000FF"/>
      <w:u w:val="single"/>
    </w:rPr>
  </w:style>
  <w:style w:type="paragraph" w:styleId="NoSpacing">
    <w:name w:val="No Spacing"/>
    <w:qFormat/>
    <w:rsid w:val="009949E1"/>
    <w:rPr>
      <w:rFonts w:ascii="Calibri" w:hAnsi="Calibri"/>
      <w:sz w:val="22"/>
      <w:szCs w:val="22"/>
    </w:rPr>
  </w:style>
  <w:style w:type="paragraph" w:styleId="BalloonText">
    <w:name w:val="Balloon Text"/>
    <w:basedOn w:val="Normal"/>
    <w:link w:val="BalloonTextChar"/>
    <w:rsid w:val="00503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0369E"/>
    <w:rPr>
      <w:rFonts w:ascii="Tahoma" w:hAnsi="Tahoma" w:cs="Tahoma"/>
      <w:sz w:val="16"/>
      <w:szCs w:val="16"/>
    </w:rPr>
  </w:style>
  <w:style w:type="paragraph" w:styleId="ListParagraph">
    <w:name w:val="List Paragraph"/>
    <w:basedOn w:val="Normal"/>
    <w:uiPriority w:val="34"/>
    <w:qFormat/>
    <w:rsid w:val="003402BC"/>
    <w:pPr>
      <w:ind w:left="720"/>
      <w:contextualSpacing/>
    </w:pPr>
    <w:rPr>
      <w:rFonts w:asciiTheme="minorHAnsi" w:eastAsiaTheme="minorHAnsi" w:hAnsiTheme="minorHAnsi" w:cstheme="minorBidi"/>
    </w:rPr>
  </w:style>
  <w:style w:type="table" w:styleId="TableGrid">
    <w:name w:val="Table Grid"/>
    <w:basedOn w:val="TableNormal"/>
    <w:rsid w:val="00ED3EB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59"/>
    <w:rsid w:val="00B361ED"/>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tivat.travel"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www.tivat.travel"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11</Pages>
  <Words>2391</Words>
  <Characters>13629</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Profaktura br</vt:lpstr>
    </vt:vector>
  </TitlesOfParts>
  <Company>TOTIV</Company>
  <LinksUpToDate>false</LinksUpToDate>
  <CharactersWithSpaces>15989</CharactersWithSpaces>
  <SharedDoc>false</SharedDoc>
  <HLinks>
    <vt:vector size="6" baseType="variant">
      <vt:variant>
        <vt:i4>131102</vt:i4>
      </vt:variant>
      <vt:variant>
        <vt:i4>0</vt:i4>
      </vt:variant>
      <vt:variant>
        <vt:i4>0</vt:i4>
      </vt:variant>
      <vt:variant>
        <vt:i4>5</vt:i4>
      </vt:variant>
      <vt:variant>
        <vt:lpwstr>http://www.tivat.travel/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Profaktura br</dc:title>
  <dc:creator>Cile</dc:creator>
  <cp:lastModifiedBy>Windows User</cp:lastModifiedBy>
  <cp:revision>24</cp:revision>
  <cp:lastPrinted>2017-02-03T07:35:00Z</cp:lastPrinted>
  <dcterms:created xsi:type="dcterms:W3CDTF">2017-08-25T11:23:00Z</dcterms:created>
  <dcterms:modified xsi:type="dcterms:W3CDTF">2017-08-31T10:54:00Z</dcterms:modified>
</cp:coreProperties>
</file>