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28"/>
          <w:szCs w:val="28"/>
          <w:lang w:val="hr-HR"/>
        </w:rPr>
      </w:pPr>
    </w:p>
    <w:p w:rsidR="00E5449B" w:rsidRPr="00D33A0B" w:rsidRDefault="00E5449B" w:rsidP="00E5449B">
      <w:pPr>
        <w:jc w:val="center"/>
        <w:rPr>
          <w:b/>
          <w:sz w:val="52"/>
          <w:szCs w:val="52"/>
          <w:lang w:val="hr-HR"/>
        </w:rPr>
      </w:pPr>
      <w:r w:rsidRPr="00D33A0B">
        <w:rPr>
          <w:b/>
          <w:sz w:val="52"/>
          <w:szCs w:val="52"/>
          <w:lang w:val="hr-HR"/>
        </w:rPr>
        <w:t>LJETO 201</w:t>
      </w:r>
      <w:r w:rsidR="00EC02E8" w:rsidRPr="00D33A0B">
        <w:rPr>
          <w:b/>
          <w:sz w:val="52"/>
          <w:szCs w:val="52"/>
          <w:lang w:val="hr-HR"/>
        </w:rPr>
        <w:t>6</w:t>
      </w:r>
      <w:r w:rsidRPr="00D33A0B">
        <w:rPr>
          <w:b/>
          <w:sz w:val="52"/>
          <w:szCs w:val="52"/>
          <w:lang w:val="hr-HR"/>
        </w:rPr>
        <w:t>.</w:t>
      </w:r>
    </w:p>
    <w:p w:rsidR="00E5449B" w:rsidRPr="00D33A0B" w:rsidRDefault="00E5449B" w:rsidP="00E5449B">
      <w:pPr>
        <w:rPr>
          <w:b/>
          <w:sz w:val="28"/>
          <w:szCs w:val="28"/>
          <w:lang w:val="hr-HR"/>
        </w:rPr>
      </w:pPr>
    </w:p>
    <w:p w:rsidR="00E5449B" w:rsidRPr="00D33A0B" w:rsidRDefault="00E5449B" w:rsidP="00E5449B">
      <w:pPr>
        <w:jc w:val="center"/>
        <w:rPr>
          <w:b/>
          <w:sz w:val="48"/>
          <w:szCs w:val="48"/>
          <w:lang w:val="hr-HR"/>
        </w:rPr>
      </w:pPr>
      <w:r w:rsidRPr="00D33A0B">
        <w:rPr>
          <w:b/>
          <w:sz w:val="48"/>
          <w:szCs w:val="48"/>
          <w:lang w:val="hr-HR"/>
        </w:rPr>
        <w:t>Informacija o odvijanju</w:t>
      </w:r>
    </w:p>
    <w:p w:rsidR="00E5449B" w:rsidRPr="00D33A0B" w:rsidRDefault="00E5449B" w:rsidP="00E5449B">
      <w:pPr>
        <w:jc w:val="center"/>
        <w:rPr>
          <w:b/>
          <w:sz w:val="48"/>
          <w:szCs w:val="48"/>
          <w:lang w:val="hr-HR"/>
        </w:rPr>
      </w:pPr>
      <w:r w:rsidRPr="00D33A0B">
        <w:rPr>
          <w:b/>
          <w:sz w:val="48"/>
          <w:szCs w:val="48"/>
          <w:lang w:val="hr-HR"/>
        </w:rPr>
        <w:t>turističke sezone u Tivtu</w:t>
      </w: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center"/>
        <w:rPr>
          <w:b/>
          <w:sz w:val="28"/>
          <w:szCs w:val="28"/>
          <w:lang w:val="hr-HR"/>
        </w:rPr>
      </w:pPr>
      <w:r w:rsidRPr="00D33A0B">
        <w:rPr>
          <w:b/>
          <w:sz w:val="28"/>
          <w:szCs w:val="28"/>
          <w:lang w:val="hr-HR"/>
        </w:rPr>
        <w:t>Septembar, 201</w:t>
      </w:r>
      <w:r w:rsidR="00EC02E8" w:rsidRPr="00D33A0B">
        <w:rPr>
          <w:b/>
          <w:sz w:val="28"/>
          <w:szCs w:val="28"/>
          <w:lang w:val="hr-HR"/>
        </w:rPr>
        <w:t>6</w:t>
      </w:r>
      <w:r w:rsidRPr="00D33A0B">
        <w:rPr>
          <w:b/>
          <w:sz w:val="28"/>
          <w:szCs w:val="28"/>
          <w:lang w:val="hr-HR"/>
        </w:rPr>
        <w:t>.</w:t>
      </w:r>
    </w:p>
    <w:p w:rsidR="00E5449B" w:rsidRPr="00D33A0B" w:rsidRDefault="00E5449B" w:rsidP="00E5449B">
      <w:pPr>
        <w:jc w:val="center"/>
        <w:rPr>
          <w:b/>
          <w:sz w:val="28"/>
          <w:szCs w:val="28"/>
          <w:lang w:val="hr-HR"/>
        </w:rPr>
      </w:pPr>
      <w:r w:rsidRPr="00D33A0B">
        <w:rPr>
          <w:b/>
          <w:sz w:val="28"/>
          <w:szCs w:val="28"/>
          <w:lang w:val="hr-HR"/>
        </w:rPr>
        <w:lastRenderedPageBreak/>
        <w:t>SADRŽAJ</w:t>
      </w: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tbl>
      <w:tblPr>
        <w:tblpPr w:leftFromText="180" w:rightFromText="180" w:vertAnchor="text" w:horzAnchor="margin" w:tblpXSpec="center" w:tblpY="-34"/>
        <w:tblW w:w="10780" w:type="dxa"/>
        <w:tblLook w:val="01E0"/>
      </w:tblPr>
      <w:tblGrid>
        <w:gridCol w:w="494"/>
        <w:gridCol w:w="9086"/>
        <w:gridCol w:w="1200"/>
      </w:tblGrid>
      <w:tr w:rsidR="00E5449B" w:rsidRPr="00D33A0B" w:rsidTr="004D1F76">
        <w:trPr>
          <w:trHeight w:val="644"/>
        </w:trPr>
        <w:tc>
          <w:tcPr>
            <w:tcW w:w="494" w:type="dxa"/>
          </w:tcPr>
          <w:p w:rsidR="00E5449B" w:rsidRPr="00D33A0B" w:rsidRDefault="00E5449B" w:rsidP="004D1F76">
            <w:pPr>
              <w:jc w:val="both"/>
              <w:rPr>
                <w:b/>
                <w:sz w:val="28"/>
                <w:szCs w:val="28"/>
                <w:lang w:val="hr-HR"/>
              </w:rPr>
            </w:pPr>
          </w:p>
        </w:tc>
        <w:tc>
          <w:tcPr>
            <w:tcW w:w="9086" w:type="dxa"/>
          </w:tcPr>
          <w:p w:rsidR="00E5449B" w:rsidRPr="00D33A0B" w:rsidRDefault="00E5449B" w:rsidP="004D1F76">
            <w:pPr>
              <w:jc w:val="both"/>
              <w:rPr>
                <w:b/>
                <w:sz w:val="28"/>
                <w:szCs w:val="28"/>
                <w:lang w:val="hr-HR"/>
              </w:rPr>
            </w:pPr>
          </w:p>
        </w:tc>
        <w:tc>
          <w:tcPr>
            <w:tcW w:w="1200" w:type="dxa"/>
          </w:tcPr>
          <w:p w:rsidR="00E5449B" w:rsidRPr="00D33A0B" w:rsidRDefault="00E5449B" w:rsidP="004D1F76">
            <w:pPr>
              <w:jc w:val="center"/>
              <w:rPr>
                <w:b/>
                <w:sz w:val="28"/>
                <w:szCs w:val="28"/>
                <w:lang w:val="hr-HR"/>
              </w:rPr>
            </w:pPr>
            <w:r w:rsidRPr="00D33A0B">
              <w:rPr>
                <w:b/>
                <w:sz w:val="28"/>
                <w:szCs w:val="28"/>
                <w:lang w:val="hr-HR"/>
              </w:rPr>
              <w:t>strana</w:t>
            </w:r>
          </w:p>
          <w:p w:rsidR="00E5449B" w:rsidRPr="00D33A0B" w:rsidRDefault="00E5449B" w:rsidP="004D1F76">
            <w:pPr>
              <w:jc w:val="center"/>
              <w:rPr>
                <w:b/>
                <w:sz w:val="28"/>
                <w:szCs w:val="28"/>
                <w:lang w:val="hr-HR"/>
              </w:rPr>
            </w:pPr>
          </w:p>
        </w:tc>
      </w:tr>
      <w:tr w:rsidR="00E5449B" w:rsidRPr="00D33A0B" w:rsidTr="004D1F76">
        <w:trPr>
          <w:trHeight w:val="644"/>
        </w:trPr>
        <w:tc>
          <w:tcPr>
            <w:tcW w:w="494" w:type="dxa"/>
          </w:tcPr>
          <w:p w:rsidR="00E5449B" w:rsidRPr="00D33A0B" w:rsidRDefault="00E5449B" w:rsidP="004D1F76">
            <w:pPr>
              <w:jc w:val="both"/>
              <w:rPr>
                <w:b/>
                <w:sz w:val="28"/>
                <w:szCs w:val="28"/>
                <w:lang w:val="hr-HR"/>
              </w:rPr>
            </w:pPr>
            <w:r w:rsidRPr="00D33A0B">
              <w:rPr>
                <w:b/>
                <w:sz w:val="28"/>
                <w:szCs w:val="28"/>
                <w:lang w:val="hr-HR"/>
              </w:rPr>
              <w:t>1.</w:t>
            </w:r>
          </w:p>
        </w:tc>
        <w:tc>
          <w:tcPr>
            <w:tcW w:w="9086" w:type="dxa"/>
          </w:tcPr>
          <w:p w:rsidR="00E5449B" w:rsidRPr="00D33A0B" w:rsidRDefault="00E5449B" w:rsidP="003D3B12">
            <w:pPr>
              <w:jc w:val="both"/>
              <w:rPr>
                <w:b/>
                <w:i/>
                <w:sz w:val="28"/>
                <w:szCs w:val="28"/>
                <w:lang w:val="hr-HR"/>
              </w:rPr>
            </w:pPr>
            <w:r w:rsidRPr="00D33A0B">
              <w:rPr>
                <w:b/>
                <w:i/>
                <w:sz w:val="28"/>
                <w:szCs w:val="28"/>
                <w:lang w:val="hr-HR"/>
              </w:rPr>
              <w:t>IZVJEŠTAJ O RADU TURISTIČKE ORGANIZACIJE TIVAT – LJETO 201</w:t>
            </w:r>
            <w:r w:rsidR="003D3B12" w:rsidRPr="00D33A0B">
              <w:rPr>
                <w:b/>
                <w:i/>
                <w:sz w:val="28"/>
                <w:szCs w:val="28"/>
                <w:lang w:val="hr-HR"/>
              </w:rPr>
              <w:t>6</w:t>
            </w:r>
            <w:r w:rsidRPr="00D33A0B">
              <w:rPr>
                <w:b/>
                <w:i/>
                <w:sz w:val="28"/>
                <w:szCs w:val="28"/>
                <w:lang w:val="hr-HR"/>
              </w:rPr>
              <w:t>.</w:t>
            </w:r>
          </w:p>
        </w:tc>
        <w:tc>
          <w:tcPr>
            <w:tcW w:w="1200" w:type="dxa"/>
          </w:tcPr>
          <w:p w:rsidR="00E5449B" w:rsidRPr="00D33A0B" w:rsidRDefault="00E5449B" w:rsidP="004D1F76">
            <w:pPr>
              <w:jc w:val="center"/>
              <w:rPr>
                <w:b/>
                <w:sz w:val="28"/>
                <w:szCs w:val="28"/>
                <w:lang w:val="hr-HR"/>
              </w:rPr>
            </w:pPr>
            <w:r w:rsidRPr="00D33A0B">
              <w:rPr>
                <w:b/>
                <w:sz w:val="28"/>
                <w:szCs w:val="28"/>
                <w:lang w:val="hr-HR"/>
              </w:rPr>
              <w:t>2</w:t>
            </w:r>
          </w:p>
        </w:tc>
      </w:tr>
      <w:tr w:rsidR="00E5449B" w:rsidRPr="00D33A0B" w:rsidTr="004D1F76">
        <w:trPr>
          <w:trHeight w:val="664"/>
        </w:trPr>
        <w:tc>
          <w:tcPr>
            <w:tcW w:w="494" w:type="dxa"/>
          </w:tcPr>
          <w:p w:rsidR="00E5449B" w:rsidRPr="00D33A0B" w:rsidRDefault="00E5449B" w:rsidP="004D1F76">
            <w:pPr>
              <w:jc w:val="both"/>
              <w:rPr>
                <w:b/>
                <w:sz w:val="28"/>
                <w:szCs w:val="28"/>
                <w:lang w:val="hr-HR"/>
              </w:rPr>
            </w:pPr>
            <w:r w:rsidRPr="00D33A0B">
              <w:rPr>
                <w:b/>
                <w:sz w:val="28"/>
                <w:szCs w:val="28"/>
                <w:lang w:val="hr-HR"/>
              </w:rPr>
              <w:t>2.</w:t>
            </w:r>
          </w:p>
        </w:tc>
        <w:tc>
          <w:tcPr>
            <w:tcW w:w="9086" w:type="dxa"/>
          </w:tcPr>
          <w:p w:rsidR="00E5449B" w:rsidRPr="00D33A0B" w:rsidRDefault="00E5449B" w:rsidP="004D1F76">
            <w:pPr>
              <w:jc w:val="both"/>
              <w:rPr>
                <w:b/>
                <w:i/>
                <w:sz w:val="28"/>
                <w:szCs w:val="28"/>
                <w:lang w:val="sr-Latn-CS"/>
              </w:rPr>
            </w:pPr>
            <w:r w:rsidRPr="00D33A0B">
              <w:rPr>
                <w:b/>
                <w:i/>
                <w:sz w:val="28"/>
                <w:szCs w:val="28"/>
                <w:lang w:val="sr-Latn-CS"/>
              </w:rPr>
              <w:t>TURISTIČKI PROMET U TIVTU – MONSTAT (tabelarni prikaz)</w:t>
            </w:r>
          </w:p>
          <w:p w:rsidR="00E5449B" w:rsidRPr="00D33A0B" w:rsidRDefault="00E5449B" w:rsidP="004D1F76">
            <w:pPr>
              <w:jc w:val="both"/>
              <w:rPr>
                <w:b/>
                <w:i/>
                <w:sz w:val="28"/>
                <w:szCs w:val="28"/>
                <w:lang w:val="sr-Latn-CS"/>
              </w:rPr>
            </w:pPr>
          </w:p>
        </w:tc>
        <w:tc>
          <w:tcPr>
            <w:tcW w:w="1200" w:type="dxa"/>
          </w:tcPr>
          <w:p w:rsidR="00E5449B" w:rsidRPr="00D33A0B" w:rsidRDefault="00E5449B" w:rsidP="004D1F76">
            <w:pPr>
              <w:jc w:val="center"/>
              <w:rPr>
                <w:b/>
                <w:sz w:val="28"/>
                <w:szCs w:val="28"/>
                <w:lang w:val="hr-HR"/>
              </w:rPr>
            </w:pPr>
            <w:r w:rsidRPr="00D33A0B">
              <w:rPr>
                <w:b/>
                <w:sz w:val="28"/>
                <w:szCs w:val="28"/>
                <w:lang w:val="hr-HR"/>
              </w:rPr>
              <w:t>5</w:t>
            </w:r>
          </w:p>
        </w:tc>
      </w:tr>
      <w:tr w:rsidR="00E5449B" w:rsidRPr="00D33A0B" w:rsidTr="004D1F76">
        <w:trPr>
          <w:trHeight w:val="644"/>
        </w:trPr>
        <w:tc>
          <w:tcPr>
            <w:tcW w:w="494" w:type="dxa"/>
          </w:tcPr>
          <w:p w:rsidR="00E5449B" w:rsidRPr="00D33A0B" w:rsidRDefault="00E5449B" w:rsidP="004D1F76">
            <w:pPr>
              <w:jc w:val="both"/>
              <w:rPr>
                <w:b/>
                <w:sz w:val="28"/>
                <w:szCs w:val="28"/>
                <w:lang w:val="hr-HR"/>
              </w:rPr>
            </w:pPr>
            <w:r w:rsidRPr="00D33A0B">
              <w:rPr>
                <w:b/>
                <w:sz w:val="28"/>
                <w:szCs w:val="28"/>
                <w:lang w:val="hr-HR"/>
              </w:rPr>
              <w:t>3.</w:t>
            </w:r>
          </w:p>
        </w:tc>
        <w:tc>
          <w:tcPr>
            <w:tcW w:w="9086" w:type="dxa"/>
          </w:tcPr>
          <w:p w:rsidR="00E5449B" w:rsidRPr="00D33A0B" w:rsidRDefault="00E5449B" w:rsidP="004D1F76">
            <w:pPr>
              <w:rPr>
                <w:b/>
                <w:sz w:val="28"/>
                <w:szCs w:val="28"/>
                <w:lang w:val="hr-HR"/>
              </w:rPr>
            </w:pPr>
            <w:r w:rsidRPr="00D33A0B">
              <w:rPr>
                <w:b/>
                <w:bCs/>
                <w:i/>
                <w:sz w:val="28"/>
                <w:szCs w:val="28"/>
                <w:lang w:val="pl-PL"/>
              </w:rPr>
              <w:t>IZVOD IZ REZULTATA ANKETE TURISTA 201</w:t>
            </w:r>
            <w:r w:rsidR="003D3B12" w:rsidRPr="00D33A0B">
              <w:rPr>
                <w:b/>
                <w:bCs/>
                <w:i/>
                <w:sz w:val="28"/>
                <w:szCs w:val="28"/>
                <w:lang w:val="pl-PL"/>
              </w:rPr>
              <w:t>6</w:t>
            </w:r>
            <w:r w:rsidRPr="00D33A0B">
              <w:rPr>
                <w:b/>
                <w:bCs/>
                <w:i/>
                <w:sz w:val="28"/>
                <w:szCs w:val="28"/>
                <w:lang w:val="pl-PL"/>
              </w:rPr>
              <w:t>. ZA OPŠTINU TIVAT</w:t>
            </w:r>
          </w:p>
          <w:p w:rsidR="00E5449B" w:rsidRPr="00D33A0B" w:rsidRDefault="00E5449B" w:rsidP="004D1F76">
            <w:pPr>
              <w:jc w:val="both"/>
              <w:rPr>
                <w:b/>
                <w:sz w:val="28"/>
                <w:szCs w:val="28"/>
                <w:lang w:val="hr-HR"/>
              </w:rPr>
            </w:pPr>
          </w:p>
        </w:tc>
        <w:tc>
          <w:tcPr>
            <w:tcW w:w="1200" w:type="dxa"/>
          </w:tcPr>
          <w:p w:rsidR="00E5449B" w:rsidRPr="00D33A0B" w:rsidRDefault="00E5449B" w:rsidP="004D1F76">
            <w:pPr>
              <w:jc w:val="center"/>
              <w:rPr>
                <w:b/>
                <w:sz w:val="28"/>
                <w:szCs w:val="28"/>
                <w:lang w:val="hr-HR"/>
              </w:rPr>
            </w:pPr>
            <w:r w:rsidRPr="00D33A0B">
              <w:rPr>
                <w:b/>
                <w:sz w:val="28"/>
                <w:szCs w:val="28"/>
                <w:lang w:val="hr-HR"/>
              </w:rPr>
              <w:t>6</w:t>
            </w:r>
          </w:p>
        </w:tc>
      </w:tr>
      <w:tr w:rsidR="00E5449B" w:rsidRPr="00D33A0B" w:rsidTr="004D1F76">
        <w:trPr>
          <w:trHeight w:val="644"/>
        </w:trPr>
        <w:tc>
          <w:tcPr>
            <w:tcW w:w="494" w:type="dxa"/>
          </w:tcPr>
          <w:p w:rsidR="00E5449B" w:rsidRPr="00D33A0B" w:rsidRDefault="00E5449B" w:rsidP="004D1F76">
            <w:pPr>
              <w:jc w:val="both"/>
              <w:rPr>
                <w:b/>
                <w:sz w:val="28"/>
                <w:szCs w:val="28"/>
                <w:lang w:val="hr-HR"/>
              </w:rPr>
            </w:pPr>
            <w:r w:rsidRPr="00D33A0B">
              <w:rPr>
                <w:b/>
                <w:sz w:val="28"/>
                <w:szCs w:val="28"/>
                <w:lang w:val="hr-HR"/>
              </w:rPr>
              <w:t>4.</w:t>
            </w:r>
          </w:p>
        </w:tc>
        <w:tc>
          <w:tcPr>
            <w:tcW w:w="9086" w:type="dxa"/>
          </w:tcPr>
          <w:p w:rsidR="00E5449B" w:rsidRPr="00D33A0B" w:rsidRDefault="00E5449B" w:rsidP="004D1F76">
            <w:pPr>
              <w:jc w:val="both"/>
              <w:rPr>
                <w:b/>
                <w:sz w:val="28"/>
                <w:szCs w:val="28"/>
                <w:lang w:val="hr-HR"/>
              </w:rPr>
            </w:pPr>
            <w:r w:rsidRPr="00D33A0B">
              <w:rPr>
                <w:b/>
                <w:i/>
                <w:sz w:val="28"/>
                <w:szCs w:val="28"/>
                <w:lang w:val="hr-HR"/>
              </w:rPr>
              <w:t>INFORMACIJA O ODVIJANJU TURISTIČKE SEZONE JAVNIH PREDUZEĆA I USTANOVA U TIVTU</w:t>
            </w:r>
          </w:p>
        </w:tc>
        <w:tc>
          <w:tcPr>
            <w:tcW w:w="1200" w:type="dxa"/>
          </w:tcPr>
          <w:p w:rsidR="00E5449B" w:rsidRPr="00D33A0B" w:rsidRDefault="00E5449B" w:rsidP="004D1F76">
            <w:pPr>
              <w:jc w:val="center"/>
              <w:rPr>
                <w:b/>
                <w:sz w:val="28"/>
                <w:szCs w:val="28"/>
                <w:lang w:val="hr-HR"/>
              </w:rPr>
            </w:pPr>
            <w:r w:rsidRPr="00D33A0B">
              <w:rPr>
                <w:b/>
                <w:sz w:val="28"/>
                <w:szCs w:val="28"/>
                <w:lang w:val="hr-HR"/>
              </w:rPr>
              <w:t>8</w:t>
            </w:r>
          </w:p>
        </w:tc>
      </w:tr>
    </w:tbl>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sr-Latn-CS"/>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jc w:val="both"/>
        <w:rPr>
          <w:b/>
          <w:sz w:val="28"/>
          <w:szCs w:val="28"/>
          <w:lang w:val="hr-HR"/>
        </w:rPr>
      </w:pPr>
    </w:p>
    <w:p w:rsidR="00E5449B" w:rsidRPr="00D33A0B" w:rsidRDefault="00E5449B" w:rsidP="00E5449B">
      <w:pPr>
        <w:numPr>
          <w:ilvl w:val="0"/>
          <w:numId w:val="7"/>
        </w:numPr>
        <w:jc w:val="both"/>
        <w:rPr>
          <w:b/>
          <w:i/>
          <w:sz w:val="28"/>
          <w:szCs w:val="28"/>
          <w:lang w:val="hr-HR"/>
        </w:rPr>
      </w:pPr>
      <w:r w:rsidRPr="00D33A0B">
        <w:rPr>
          <w:b/>
          <w:i/>
          <w:sz w:val="28"/>
          <w:szCs w:val="28"/>
          <w:lang w:val="hr-HR"/>
        </w:rPr>
        <w:lastRenderedPageBreak/>
        <w:t>IZVJEŠTAJ O RADU TURISTIČKE ORGANIZACIJE TIVAT – LJETO 201</w:t>
      </w:r>
      <w:r w:rsidR="00060B91" w:rsidRPr="00D33A0B">
        <w:rPr>
          <w:b/>
          <w:i/>
          <w:sz w:val="28"/>
          <w:szCs w:val="28"/>
          <w:lang w:val="hr-HR"/>
        </w:rPr>
        <w:t>6</w:t>
      </w:r>
      <w:r w:rsidRPr="00D33A0B">
        <w:rPr>
          <w:b/>
          <w:i/>
          <w:sz w:val="28"/>
          <w:szCs w:val="28"/>
          <w:lang w:val="hr-HR"/>
        </w:rPr>
        <w:t>.</w:t>
      </w:r>
    </w:p>
    <w:p w:rsidR="00E5449B" w:rsidRPr="00D33A0B" w:rsidRDefault="00E5449B" w:rsidP="00E5449B">
      <w:pPr>
        <w:pStyle w:val="NoSpacing"/>
        <w:jc w:val="both"/>
        <w:rPr>
          <w:rFonts w:ascii="Times New Roman" w:hAnsi="Times New Roman"/>
          <w:sz w:val="24"/>
          <w:szCs w:val="24"/>
          <w:lang w:val="hr-HR"/>
        </w:rPr>
      </w:pPr>
    </w:p>
    <w:p w:rsidR="00060B91" w:rsidRPr="00D33A0B" w:rsidRDefault="00060B91" w:rsidP="00060B91">
      <w:pPr>
        <w:pStyle w:val="NoSpacing"/>
        <w:jc w:val="both"/>
        <w:rPr>
          <w:rFonts w:ascii="Times New Roman" w:hAnsi="Times New Roman"/>
          <w:sz w:val="24"/>
          <w:szCs w:val="24"/>
        </w:rPr>
      </w:pPr>
    </w:p>
    <w:p w:rsidR="00060B91" w:rsidRPr="00D33A0B" w:rsidRDefault="00060B91" w:rsidP="00060B91">
      <w:pPr>
        <w:pStyle w:val="NoSpacing"/>
        <w:jc w:val="both"/>
        <w:rPr>
          <w:rFonts w:ascii="Times New Roman" w:hAnsi="Times New Roman"/>
          <w:sz w:val="24"/>
          <w:szCs w:val="24"/>
        </w:rPr>
      </w:pPr>
      <w:r w:rsidRPr="00D33A0B">
        <w:rPr>
          <w:rFonts w:ascii="Times New Roman" w:hAnsi="Times New Roman"/>
          <w:sz w:val="24"/>
          <w:szCs w:val="24"/>
        </w:rPr>
        <w:t>U period od januara do kraja septembra 2016. godine Turistička organizacija opštine Tivat poslovala je u skladu sa strateškim ciljevima razvoja turizma u Tivtu.</w:t>
      </w:r>
    </w:p>
    <w:p w:rsidR="00060B91" w:rsidRPr="00D33A0B" w:rsidRDefault="00060B91" w:rsidP="00060B91">
      <w:pPr>
        <w:pStyle w:val="NoSpacing"/>
        <w:jc w:val="both"/>
        <w:rPr>
          <w:rFonts w:ascii="Times New Roman" w:hAnsi="Times New Roman"/>
          <w:sz w:val="24"/>
          <w:szCs w:val="24"/>
        </w:rPr>
      </w:pPr>
      <w:r w:rsidRPr="00D33A0B">
        <w:rPr>
          <w:rFonts w:ascii="Times New Roman" w:hAnsi="Times New Roman"/>
          <w:sz w:val="24"/>
          <w:szCs w:val="24"/>
        </w:rPr>
        <w:t>Nastavljeno je sa pozicioniranjem Tivta kao visoko kvalitetne turističke destinacije, poštovanjem lokalnih karakteristika i opredijeljenošću za održivost razvoja na teritoriji opštine i države.</w:t>
      </w:r>
    </w:p>
    <w:p w:rsidR="00060B91" w:rsidRPr="00D33A0B" w:rsidRDefault="00060B91" w:rsidP="00060B91">
      <w:pPr>
        <w:pStyle w:val="NoSpacing"/>
        <w:jc w:val="both"/>
        <w:rPr>
          <w:rFonts w:ascii="Times New Roman" w:hAnsi="Times New Roman"/>
          <w:sz w:val="24"/>
          <w:szCs w:val="24"/>
        </w:rPr>
      </w:pPr>
      <w:r w:rsidRPr="00D33A0B">
        <w:rPr>
          <w:rFonts w:ascii="Times New Roman" w:hAnsi="Times New Roman"/>
          <w:sz w:val="24"/>
          <w:szCs w:val="24"/>
        </w:rPr>
        <w:t>TO Tivat je učestvovala u projektima od značaja za lokalnu zajednicu i dala doprinos u obuci stručnih kadrova.</w:t>
      </w:r>
      <w:r w:rsidR="003D3B12" w:rsidRPr="00D33A0B">
        <w:rPr>
          <w:rFonts w:ascii="Times New Roman" w:hAnsi="Times New Roman"/>
          <w:sz w:val="24"/>
          <w:szCs w:val="24"/>
        </w:rPr>
        <w:t xml:space="preserve"> </w:t>
      </w:r>
      <w:r w:rsidRPr="00D33A0B">
        <w:rPr>
          <w:rFonts w:ascii="Times New Roman" w:hAnsi="Times New Roman"/>
          <w:sz w:val="24"/>
          <w:szCs w:val="24"/>
        </w:rPr>
        <w:t>U sprovođenju plana TO Tivat imala je saradnju NTO, lokalne samouprave, medija, privrede, institucija kulture, NVO i drugih subjekata.</w:t>
      </w:r>
      <w:r w:rsidR="003D3B12" w:rsidRPr="00D33A0B">
        <w:rPr>
          <w:rFonts w:ascii="Times New Roman" w:hAnsi="Times New Roman"/>
          <w:sz w:val="24"/>
          <w:szCs w:val="24"/>
        </w:rPr>
        <w:t xml:space="preserve"> </w:t>
      </w:r>
      <w:r w:rsidRPr="00D33A0B">
        <w:rPr>
          <w:rFonts w:ascii="Times New Roman" w:hAnsi="Times New Roman"/>
          <w:sz w:val="24"/>
          <w:szCs w:val="24"/>
        </w:rPr>
        <w:t>T</w:t>
      </w:r>
      <w:r w:rsidR="003D3B12" w:rsidRPr="00D33A0B">
        <w:rPr>
          <w:rFonts w:ascii="Times New Roman" w:hAnsi="Times New Roman"/>
          <w:sz w:val="24"/>
          <w:szCs w:val="24"/>
        </w:rPr>
        <w:t>O</w:t>
      </w:r>
      <w:r w:rsidRPr="00D33A0B">
        <w:rPr>
          <w:rFonts w:ascii="Times New Roman" w:hAnsi="Times New Roman"/>
          <w:sz w:val="24"/>
          <w:szCs w:val="24"/>
        </w:rPr>
        <w:t xml:space="preserve"> Tivat imala je redovnu i blisku saradnju i međusobnu podršku sa LTO primorja, Podgorice i Cetinja radi planiranja zajedničkih nastupa na sajmovima i koordinisanih akcija u zemlji.</w:t>
      </w:r>
    </w:p>
    <w:p w:rsidR="00060B91" w:rsidRPr="00D33A0B" w:rsidRDefault="00060B91" w:rsidP="00060B91">
      <w:pPr>
        <w:pStyle w:val="NoSpacing"/>
        <w:jc w:val="both"/>
        <w:rPr>
          <w:rFonts w:ascii="Times New Roman" w:hAnsi="Times New Roman"/>
          <w:sz w:val="24"/>
          <w:szCs w:val="24"/>
        </w:rPr>
      </w:pPr>
    </w:p>
    <w:p w:rsidR="00060B91" w:rsidRPr="00D33A0B" w:rsidRDefault="00060B91" w:rsidP="00060B91">
      <w:pPr>
        <w:pStyle w:val="NoSpacing"/>
        <w:jc w:val="both"/>
        <w:rPr>
          <w:rFonts w:ascii="Times New Roman" w:hAnsi="Times New Roman"/>
          <w:b/>
          <w:sz w:val="24"/>
          <w:szCs w:val="24"/>
        </w:rPr>
      </w:pPr>
      <w:r w:rsidRPr="00D33A0B">
        <w:rPr>
          <w:rFonts w:ascii="Times New Roman" w:hAnsi="Times New Roman"/>
          <w:b/>
          <w:sz w:val="24"/>
          <w:szCs w:val="24"/>
        </w:rPr>
        <w:t>Januar – april</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rPr>
        <w:t xml:space="preserve">TO Tivat učestvovala je na svim sajmovima koje je predvidjela Planom i programom rada za 2016. i to na zajedničkim štandovima sa NTO ili sa LTO primorja. </w:t>
      </w:r>
      <w:r w:rsidRPr="00D33A0B">
        <w:rPr>
          <w:rFonts w:ascii="Times New Roman" w:hAnsi="Times New Roman"/>
          <w:sz w:val="24"/>
          <w:szCs w:val="24"/>
          <w:lang w:val="it-IT"/>
        </w:rPr>
        <w:t>Na sajmovima na kojima nijesmo učestvovali participirali smo sa propagandnim materijalom.</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U organizaciji NTO učestvovali smo na sajmovima: Beč, Utreht, Beograd,</w:t>
      </w:r>
      <w:r w:rsidR="003D3B12" w:rsidRPr="00D33A0B">
        <w:rPr>
          <w:rFonts w:ascii="Times New Roman" w:hAnsi="Times New Roman"/>
          <w:sz w:val="24"/>
          <w:szCs w:val="24"/>
          <w:lang w:val="it-IT"/>
        </w:rPr>
        <w:t xml:space="preserve"> </w:t>
      </w:r>
      <w:r w:rsidRPr="00D33A0B">
        <w:rPr>
          <w:rFonts w:ascii="Times New Roman" w:hAnsi="Times New Roman"/>
          <w:sz w:val="24"/>
          <w:szCs w:val="24"/>
          <w:lang w:val="it-IT"/>
        </w:rPr>
        <w:t xml:space="preserve">Berlin i Moskva. Sa drugim LTO smo obišli sajmove: Oslo, Bratislava, Prag i Budimpešta, kao i u regionu Skoplje, Priština, Lukavac i Novi Sad. </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Nabavljeno je 8 optičkih čitača dokumenata radi prijave stranaca prema programu RB90 koji su značajno olakšali rad radnicima tokom devet mjeseci 2016. </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15.01.2015. pridružila su nam se četiri visokoškolca na stručnom osposobljavanju po programu Vlade Crne Gore od kojih smo jednog uputili na ispomoć u Sektor finansija opštine Tivat, troje su cijelu sez</w:t>
      </w:r>
      <w:r w:rsidR="003D3B12" w:rsidRPr="00D33A0B">
        <w:rPr>
          <w:rFonts w:ascii="Times New Roman" w:hAnsi="Times New Roman"/>
          <w:sz w:val="24"/>
          <w:szCs w:val="24"/>
          <w:lang w:val="it-IT"/>
        </w:rPr>
        <w:t>onu samostalno radili u biroima</w:t>
      </w:r>
      <w:r w:rsidRPr="00D33A0B">
        <w:rPr>
          <w:rFonts w:ascii="Times New Roman" w:hAnsi="Times New Roman"/>
          <w:sz w:val="24"/>
          <w:szCs w:val="24"/>
          <w:lang w:val="it-IT"/>
        </w:rPr>
        <w:t>.</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21.01.2016. donesena je Uredba Vlade Crne Gore o visini boravišne takse za plovne objekte nautičkog turizma što je bio jedan od preduslova da se otpočne sa ovom aktivnošću.</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03.02. na </w:t>
      </w:r>
      <w:r w:rsidR="003D3B12" w:rsidRPr="00D33A0B">
        <w:rPr>
          <w:rFonts w:ascii="Times New Roman" w:hAnsi="Times New Roman"/>
          <w:sz w:val="24"/>
          <w:szCs w:val="24"/>
          <w:lang w:val="it-IT"/>
        </w:rPr>
        <w:t>“</w:t>
      </w:r>
      <w:r w:rsidRPr="00D33A0B">
        <w:rPr>
          <w:rFonts w:ascii="Times New Roman" w:hAnsi="Times New Roman"/>
          <w:sz w:val="24"/>
          <w:szCs w:val="24"/>
          <w:lang w:val="it-IT"/>
        </w:rPr>
        <w:t>Dan močvarnih staništa</w:t>
      </w:r>
      <w:r w:rsidR="003D3B12" w:rsidRPr="00D33A0B">
        <w:rPr>
          <w:rFonts w:ascii="Times New Roman" w:hAnsi="Times New Roman"/>
          <w:sz w:val="24"/>
          <w:szCs w:val="24"/>
          <w:lang w:val="it-IT"/>
        </w:rPr>
        <w:t>”</w:t>
      </w:r>
      <w:r w:rsidRPr="00D33A0B">
        <w:rPr>
          <w:rFonts w:ascii="Times New Roman" w:hAnsi="Times New Roman"/>
          <w:sz w:val="24"/>
          <w:szCs w:val="24"/>
          <w:lang w:val="it-IT"/>
        </w:rPr>
        <w:t xml:space="preserve"> pomogli smo opremanje punkta na Solilima da omogućimo lakši rad zaposlenima u ovom informativnom centru JP Morsko dobro i CZIP. </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Dana 05.02.16. proslavili smo sa gostima iz NTO, svojim poslovnim partnerima i bivšim radnicima 11 godina od konstitutivne sjednice Skupštine TO Tivat u restoranu ,,Druga priča”. </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Planirana aktivnost za 22.03. </w:t>
      </w:r>
      <w:r w:rsidR="003D3B12" w:rsidRPr="00D33A0B">
        <w:rPr>
          <w:rFonts w:ascii="Times New Roman" w:hAnsi="Times New Roman"/>
          <w:sz w:val="24"/>
          <w:szCs w:val="24"/>
          <w:lang w:val="it-IT"/>
        </w:rPr>
        <w:t>“</w:t>
      </w:r>
      <w:r w:rsidRPr="00D33A0B">
        <w:rPr>
          <w:rFonts w:ascii="Times New Roman" w:hAnsi="Times New Roman"/>
          <w:sz w:val="24"/>
          <w:szCs w:val="24"/>
          <w:lang w:val="it-IT"/>
        </w:rPr>
        <w:t>Dan voda</w:t>
      </w:r>
      <w:r w:rsidR="003D3B12" w:rsidRPr="00D33A0B">
        <w:rPr>
          <w:rFonts w:ascii="Times New Roman" w:hAnsi="Times New Roman"/>
          <w:sz w:val="24"/>
          <w:szCs w:val="24"/>
          <w:lang w:val="it-IT"/>
        </w:rPr>
        <w:t>”</w:t>
      </w:r>
      <w:r w:rsidRPr="00D33A0B">
        <w:rPr>
          <w:rFonts w:ascii="Times New Roman" w:hAnsi="Times New Roman"/>
          <w:sz w:val="24"/>
          <w:szCs w:val="24"/>
          <w:lang w:val="it-IT"/>
        </w:rPr>
        <w:t xml:space="preserve"> o postavljanju gradske česme odložena je do definisanja prave pozicije za istu.</w:t>
      </w:r>
    </w:p>
    <w:p w:rsidR="00060B91" w:rsidRPr="00D33A0B" w:rsidRDefault="00060B91" w:rsidP="00060B91">
      <w:pPr>
        <w:pStyle w:val="NoSpacing"/>
        <w:jc w:val="both"/>
        <w:rPr>
          <w:rFonts w:ascii="Times New Roman" w:hAnsi="Times New Roman"/>
          <w:sz w:val="24"/>
          <w:szCs w:val="24"/>
          <w:lang w:val="it-IT"/>
        </w:rPr>
      </w:pPr>
    </w:p>
    <w:p w:rsidR="00060B91" w:rsidRPr="00D33A0B" w:rsidRDefault="00060B91" w:rsidP="00060B91">
      <w:pPr>
        <w:pStyle w:val="NoSpacing"/>
        <w:jc w:val="both"/>
        <w:rPr>
          <w:rFonts w:ascii="Times New Roman" w:hAnsi="Times New Roman"/>
          <w:b/>
          <w:sz w:val="24"/>
          <w:szCs w:val="24"/>
          <w:lang w:val="it-IT"/>
        </w:rPr>
      </w:pPr>
      <w:r w:rsidRPr="00D33A0B">
        <w:rPr>
          <w:rFonts w:ascii="Times New Roman" w:hAnsi="Times New Roman"/>
          <w:b/>
          <w:sz w:val="24"/>
          <w:szCs w:val="24"/>
          <w:lang w:val="it-IT"/>
        </w:rPr>
        <w:t>Maj – jun</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Dana 22.04. na svjetski </w:t>
      </w:r>
      <w:r w:rsidR="003D3B12" w:rsidRPr="00D33A0B">
        <w:rPr>
          <w:rFonts w:ascii="Times New Roman" w:hAnsi="Times New Roman"/>
          <w:sz w:val="24"/>
          <w:szCs w:val="24"/>
          <w:lang w:val="it-IT"/>
        </w:rPr>
        <w:t>“</w:t>
      </w:r>
      <w:r w:rsidRPr="00D33A0B">
        <w:rPr>
          <w:rFonts w:ascii="Times New Roman" w:hAnsi="Times New Roman"/>
          <w:sz w:val="24"/>
          <w:szCs w:val="24"/>
          <w:lang w:val="it-IT"/>
        </w:rPr>
        <w:t>Dan planete Zemlje</w:t>
      </w:r>
      <w:r w:rsidR="003D3B12" w:rsidRPr="00D33A0B">
        <w:rPr>
          <w:rFonts w:ascii="Times New Roman" w:hAnsi="Times New Roman"/>
          <w:sz w:val="24"/>
          <w:szCs w:val="24"/>
          <w:lang w:val="it-IT"/>
        </w:rPr>
        <w:t>”</w:t>
      </w:r>
      <w:r w:rsidRPr="00D33A0B">
        <w:rPr>
          <w:rFonts w:ascii="Times New Roman" w:hAnsi="Times New Roman"/>
          <w:sz w:val="24"/>
          <w:szCs w:val="24"/>
          <w:lang w:val="it-IT"/>
        </w:rPr>
        <w:t xml:space="preserve"> započela je akcija ,,Dani magnolije”, tradicionalna manifestacija kroz koju TO Tivat daje značaj zaštiti životne sredine i podstiče građane da učine naše mjesto ugodnim za boravak gostiju. Nagrade su dodijeljene 10.06. na bazenu hotela ,,Kamelija”. Tokom ove akcije 05.06. na </w:t>
      </w:r>
      <w:r w:rsidR="003D3B12" w:rsidRPr="00D33A0B">
        <w:rPr>
          <w:rFonts w:ascii="Times New Roman" w:hAnsi="Times New Roman"/>
          <w:sz w:val="24"/>
          <w:szCs w:val="24"/>
          <w:lang w:val="it-IT"/>
        </w:rPr>
        <w:t>“</w:t>
      </w:r>
      <w:r w:rsidRPr="00D33A0B">
        <w:rPr>
          <w:rFonts w:ascii="Times New Roman" w:hAnsi="Times New Roman"/>
          <w:sz w:val="24"/>
          <w:szCs w:val="24"/>
          <w:lang w:val="it-IT"/>
        </w:rPr>
        <w:t>Dan zaštite životne sredine</w:t>
      </w:r>
      <w:r w:rsidR="003D3B12" w:rsidRPr="00D33A0B">
        <w:rPr>
          <w:rFonts w:ascii="Times New Roman" w:hAnsi="Times New Roman"/>
          <w:sz w:val="24"/>
          <w:szCs w:val="24"/>
          <w:lang w:val="it-IT"/>
        </w:rPr>
        <w:t>”</w:t>
      </w:r>
      <w:r w:rsidRPr="00D33A0B">
        <w:rPr>
          <w:rFonts w:ascii="Times New Roman" w:hAnsi="Times New Roman"/>
          <w:sz w:val="24"/>
          <w:szCs w:val="24"/>
          <w:lang w:val="it-IT"/>
        </w:rPr>
        <w:t xml:space="preserve"> usadili smo drvo ispred našeg biroa na autobuskoj stanici.</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Na Solilima smo obilježili i 10 maj </w:t>
      </w:r>
      <w:r w:rsidR="003D3B12" w:rsidRPr="00D33A0B">
        <w:rPr>
          <w:rFonts w:ascii="Times New Roman" w:hAnsi="Times New Roman"/>
          <w:sz w:val="24"/>
          <w:szCs w:val="24"/>
          <w:lang w:val="it-IT"/>
        </w:rPr>
        <w:t>“</w:t>
      </w:r>
      <w:r w:rsidRPr="00D33A0B">
        <w:rPr>
          <w:rFonts w:ascii="Times New Roman" w:hAnsi="Times New Roman"/>
          <w:sz w:val="24"/>
          <w:szCs w:val="24"/>
          <w:lang w:val="it-IT"/>
        </w:rPr>
        <w:t>Dan ptica i drveća</w:t>
      </w:r>
      <w:r w:rsidR="003D3B12" w:rsidRPr="00D33A0B">
        <w:rPr>
          <w:rFonts w:ascii="Times New Roman" w:hAnsi="Times New Roman"/>
          <w:sz w:val="24"/>
          <w:szCs w:val="24"/>
          <w:lang w:val="it-IT"/>
        </w:rPr>
        <w:t>” i “D</w:t>
      </w:r>
      <w:r w:rsidRPr="00D33A0B">
        <w:rPr>
          <w:rFonts w:ascii="Times New Roman" w:hAnsi="Times New Roman"/>
          <w:sz w:val="24"/>
          <w:szCs w:val="24"/>
          <w:lang w:val="it-IT"/>
        </w:rPr>
        <w:t>an tjelesnih aktivnosti</w:t>
      </w:r>
      <w:r w:rsidR="003D3B12" w:rsidRPr="00D33A0B">
        <w:rPr>
          <w:rFonts w:ascii="Times New Roman" w:hAnsi="Times New Roman"/>
          <w:sz w:val="24"/>
          <w:szCs w:val="24"/>
          <w:lang w:val="it-IT"/>
        </w:rPr>
        <w:t>”</w:t>
      </w:r>
      <w:r w:rsidRPr="00D33A0B">
        <w:rPr>
          <w:rFonts w:ascii="Times New Roman" w:hAnsi="Times New Roman"/>
          <w:sz w:val="24"/>
          <w:szCs w:val="24"/>
          <w:lang w:val="it-IT"/>
        </w:rPr>
        <w:t xml:space="preserve"> gdje smo zajedno sa prof. fizičke kulture poslali poruku o zdravom životu.</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Već početkom maja mjeseca Turistička organizacija je imala brošuru ,,Vodič kroz manifestacije” i  gotov kalendar Tivatskih ljetnjih fešti, štampala ga u 6000 primjeraka i odmah plasir</w:t>
      </w:r>
      <w:r w:rsidR="003D3B12" w:rsidRPr="00D33A0B">
        <w:rPr>
          <w:rFonts w:ascii="Times New Roman" w:hAnsi="Times New Roman"/>
          <w:sz w:val="24"/>
          <w:szCs w:val="24"/>
          <w:lang w:val="it-IT"/>
        </w:rPr>
        <w:t>ala u zemlje regiona tokom “Roadshow” kampanje.</w:t>
      </w:r>
      <w:r w:rsidRPr="00D33A0B">
        <w:rPr>
          <w:rFonts w:ascii="Times New Roman" w:hAnsi="Times New Roman"/>
          <w:sz w:val="24"/>
          <w:szCs w:val="24"/>
          <w:lang w:val="it-IT"/>
        </w:rPr>
        <w:t>.</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Putem medija i prigodnim lecima pozvali smo izdavaoce privatnog smještaja da legalizuju svoje kapacitete.</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lastRenderedPageBreak/>
        <w:t>Pripremljeno je 50</w:t>
      </w:r>
      <w:r w:rsidR="003D3B12" w:rsidRPr="00D33A0B">
        <w:rPr>
          <w:rFonts w:ascii="Times New Roman" w:hAnsi="Times New Roman"/>
          <w:sz w:val="24"/>
          <w:szCs w:val="24"/>
          <w:lang w:val="it-IT"/>
        </w:rPr>
        <w:t>.</w:t>
      </w:r>
      <w:r w:rsidRPr="00D33A0B">
        <w:rPr>
          <w:rFonts w:ascii="Times New Roman" w:hAnsi="Times New Roman"/>
          <w:sz w:val="24"/>
          <w:szCs w:val="24"/>
          <w:lang w:val="it-IT"/>
        </w:rPr>
        <w:t>000 kom mape CG i grada, 3</w:t>
      </w:r>
      <w:r w:rsidR="003D3B12" w:rsidRPr="00D33A0B">
        <w:rPr>
          <w:rFonts w:ascii="Times New Roman" w:hAnsi="Times New Roman"/>
          <w:sz w:val="24"/>
          <w:szCs w:val="24"/>
          <w:lang w:val="it-IT"/>
        </w:rPr>
        <w:t>.</w:t>
      </w:r>
      <w:r w:rsidRPr="00D33A0B">
        <w:rPr>
          <w:rFonts w:ascii="Times New Roman" w:hAnsi="Times New Roman"/>
          <w:sz w:val="24"/>
          <w:szCs w:val="24"/>
          <w:lang w:val="it-IT"/>
        </w:rPr>
        <w:t>000 kom kataloga ,,Od elite do elite”, 9</w:t>
      </w:r>
      <w:r w:rsidR="003D3B12" w:rsidRPr="00D33A0B">
        <w:rPr>
          <w:rFonts w:ascii="Times New Roman" w:hAnsi="Times New Roman"/>
          <w:sz w:val="24"/>
          <w:szCs w:val="24"/>
          <w:lang w:val="it-IT"/>
        </w:rPr>
        <w:t>.</w:t>
      </w:r>
      <w:r w:rsidRPr="00D33A0B">
        <w:rPr>
          <w:rFonts w:ascii="Times New Roman" w:hAnsi="Times New Roman"/>
          <w:sz w:val="24"/>
          <w:szCs w:val="24"/>
          <w:lang w:val="it-IT"/>
        </w:rPr>
        <w:t>000 mapa plaža i po 3</w:t>
      </w:r>
      <w:r w:rsidR="003D3B12" w:rsidRPr="00D33A0B">
        <w:rPr>
          <w:rFonts w:ascii="Times New Roman" w:hAnsi="Times New Roman"/>
          <w:sz w:val="24"/>
          <w:szCs w:val="24"/>
          <w:lang w:val="it-IT"/>
        </w:rPr>
        <w:t>.</w:t>
      </w:r>
      <w:r w:rsidRPr="00D33A0B">
        <w:rPr>
          <w:rFonts w:ascii="Times New Roman" w:hAnsi="Times New Roman"/>
          <w:sz w:val="24"/>
          <w:szCs w:val="24"/>
          <w:lang w:val="it-IT"/>
        </w:rPr>
        <w:t>000 kom brošure ,,Tivat na dlanu</w:t>
      </w:r>
      <w:r w:rsidR="003D3B12" w:rsidRPr="00D33A0B">
        <w:rPr>
          <w:rFonts w:ascii="Times New Roman" w:hAnsi="Times New Roman"/>
          <w:sz w:val="24"/>
          <w:szCs w:val="24"/>
          <w:lang w:val="it-IT"/>
        </w:rPr>
        <w:t xml:space="preserve">” na našem i engleskom jeziku. </w:t>
      </w:r>
      <w:r w:rsidRPr="00D33A0B">
        <w:rPr>
          <w:rFonts w:ascii="Times New Roman" w:hAnsi="Times New Roman"/>
          <w:sz w:val="24"/>
          <w:szCs w:val="24"/>
          <w:lang w:val="it-IT"/>
        </w:rPr>
        <w:t>Takođe smo štampali po 2</w:t>
      </w:r>
      <w:r w:rsidR="003D3B12" w:rsidRPr="00D33A0B">
        <w:rPr>
          <w:rFonts w:ascii="Times New Roman" w:hAnsi="Times New Roman"/>
          <w:sz w:val="24"/>
          <w:szCs w:val="24"/>
          <w:lang w:val="it-IT"/>
        </w:rPr>
        <w:t>.</w:t>
      </w:r>
      <w:r w:rsidRPr="00D33A0B">
        <w:rPr>
          <w:rFonts w:ascii="Times New Roman" w:hAnsi="Times New Roman"/>
          <w:sz w:val="24"/>
          <w:szCs w:val="24"/>
          <w:lang w:val="it-IT"/>
        </w:rPr>
        <w:t>00</w:t>
      </w:r>
      <w:r w:rsidR="003D3B12" w:rsidRPr="00D33A0B">
        <w:rPr>
          <w:rFonts w:ascii="Times New Roman" w:hAnsi="Times New Roman"/>
          <w:sz w:val="24"/>
          <w:szCs w:val="24"/>
          <w:lang w:val="it-IT"/>
        </w:rPr>
        <w:t>0 kom mape Boke na našem i engleskom</w:t>
      </w:r>
      <w:r w:rsidRPr="00D33A0B">
        <w:rPr>
          <w:rFonts w:ascii="Times New Roman" w:hAnsi="Times New Roman"/>
          <w:sz w:val="24"/>
          <w:szCs w:val="24"/>
          <w:lang w:val="it-IT"/>
        </w:rPr>
        <w:t xml:space="preserve"> jeziku, kao i određenu količinu mape Vrmca.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Tokom 13. i 14.06. naša gošća bila je Ivana Dukčević, poznata turistička blogerka koja je obišla sve znamenitosti Tivta i opisala ih sa puno pažnje i pohvala.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Zapažena je i posjeta 18 novinara Srbije koju je organizovala marketinška agencija Top one sa kojom sarađujemo već duži niz godina. Novinari su obišli Lušticu, CZK, Porto Montenegro i bili ugošteni od strane preduzeća New brand Tivat na brodu ,,Vodena kočija”.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Američka producentska kuća Associated television international i Baldući film iz Zagreba snimali su dio turističkog filma u Tivtu gdje smo im davali logističku podršku.</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Već dugi niz godina imamo svoj prostor na sajtu furaj.ba u BIH i u Poslovnom vodiču Srbije.</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Jedan od upečatljivijih priloga bio je i na Prvoj srpskoj tv kada smo zajedno sa glumcem Aleksandrom Srećkovićem Kuburom dočekali goste na trajektu Kamenari-Lepetane. </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Izuzetnu saradnju sa medijima ostvarili smo kako u pripremi sezone tako i tokom cijelog trajanja Tivatskih ljetnjih fešti. Osim Radio Tivta koji je naš prvi saradnik, posebnu zahvalnost za medijsku podršku TO Tivat iskazuje medijima: Vijesti- tv i dnevne novine, Radio Jadran, TV Pink , TV KG9, Radio Dux, Bokanews, Prva tv i časopisima Res Publika i Belguest.</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Podsticali smo visokoškolce da što više učestvuju na javnim raspravama, radionicama, seminarima,  da prate aktuelne trendove u turizmu.</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Biroi su otvoreni 25.05.2016. osim biroa na autobuskoj stanici, koji je otvoren 01.04. </w:t>
      </w:r>
    </w:p>
    <w:p w:rsidR="003D3B12" w:rsidRPr="00D33A0B" w:rsidRDefault="003D3B12" w:rsidP="00060B91">
      <w:pPr>
        <w:pStyle w:val="NoSpacing"/>
        <w:jc w:val="both"/>
        <w:rPr>
          <w:rFonts w:ascii="Times New Roman" w:hAnsi="Times New Roman"/>
          <w:sz w:val="24"/>
          <w:szCs w:val="24"/>
          <w:lang w:val="it-IT"/>
        </w:rPr>
      </w:pPr>
    </w:p>
    <w:p w:rsidR="00060B91" w:rsidRPr="00D33A0B" w:rsidRDefault="00060B91" w:rsidP="00060B91">
      <w:pPr>
        <w:pStyle w:val="NoSpacing"/>
        <w:jc w:val="both"/>
        <w:rPr>
          <w:rFonts w:ascii="Times New Roman" w:hAnsi="Times New Roman"/>
          <w:b/>
          <w:sz w:val="24"/>
          <w:szCs w:val="24"/>
          <w:lang w:val="it-IT"/>
        </w:rPr>
      </w:pPr>
      <w:r w:rsidRPr="00D33A0B">
        <w:rPr>
          <w:rFonts w:ascii="Times New Roman" w:hAnsi="Times New Roman"/>
          <w:b/>
          <w:sz w:val="24"/>
          <w:szCs w:val="24"/>
          <w:lang w:val="it-IT"/>
        </w:rPr>
        <w:t>Jul – avgust</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Tivatske ljetnje fešte otpočeli smo 24.06.  koncertom Josipe Lisac na rivi koji je brojnom publikom unio optimizam da će 2016. biti još jedna uspješna godina za TO Tivat.</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U toku rada na pripremi svih manifestacija za ljeto pripremili smo i tehnički inovirali rad sa prijavom stranaca i naplatom b.t. na terenu tako što smo zaposlenima obezbijedili lap topove i vezu sa programom RB90 , a u isto vrijeme anket</w:t>
      </w:r>
      <w:r w:rsidR="003D3B12" w:rsidRPr="00D33A0B">
        <w:rPr>
          <w:rFonts w:ascii="Times New Roman" w:hAnsi="Times New Roman"/>
          <w:sz w:val="24"/>
          <w:szCs w:val="24"/>
          <w:lang w:val="it-IT"/>
        </w:rPr>
        <w:t>arima nabavili program i tablet uređaje</w:t>
      </w:r>
      <w:r w:rsidRPr="00D33A0B">
        <w:rPr>
          <w:rFonts w:ascii="Times New Roman" w:hAnsi="Times New Roman"/>
          <w:sz w:val="24"/>
          <w:szCs w:val="24"/>
          <w:lang w:val="it-IT"/>
        </w:rPr>
        <w:t xml:space="preserve"> radi lakše obrade ankete.</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01.07. 04.08. u saradnji sa Maslinarskim društvom ,,Boka” organizovali smo manifestaciju ,,Bokeška maslina”.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05.07.  na Trgu Magnolija organizovan je koncert grupe ,,Zemlja gruva”, a već 08.07. prvi sajam vina, dok je drugi bio 08.08.</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11.07. na rivi Pine upriličen je koncert Nena Belana, a 16.07. grupe ,,Zoster”.</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,,Ljeto dobrog ukusa” organizovali smo u konobi ,,Bacchus” 12.07, na plaži Ponta 15.07, u restoranu hotela ,,Pine” 18.07, na plaži Movida 03.08.  i u konobi </w:t>
      </w:r>
      <w:r w:rsidR="003D3B12" w:rsidRPr="00D33A0B">
        <w:rPr>
          <w:rFonts w:ascii="Times New Roman" w:hAnsi="Times New Roman"/>
          <w:sz w:val="24"/>
          <w:szCs w:val="24"/>
          <w:lang w:val="it-IT"/>
        </w:rPr>
        <w:t>“</w:t>
      </w:r>
      <w:r w:rsidRPr="00D33A0B">
        <w:rPr>
          <w:rFonts w:ascii="Times New Roman" w:hAnsi="Times New Roman"/>
          <w:sz w:val="24"/>
          <w:szCs w:val="24"/>
          <w:lang w:val="it-IT"/>
        </w:rPr>
        <w:t>Giardino</w:t>
      </w:r>
      <w:r w:rsidR="003D3B12" w:rsidRPr="00D33A0B">
        <w:rPr>
          <w:rFonts w:ascii="Times New Roman" w:hAnsi="Times New Roman"/>
          <w:sz w:val="24"/>
          <w:szCs w:val="24"/>
          <w:lang w:val="it-IT"/>
        </w:rPr>
        <w:t>”</w:t>
      </w:r>
      <w:r w:rsidRPr="00D33A0B">
        <w:rPr>
          <w:rFonts w:ascii="Times New Roman" w:hAnsi="Times New Roman"/>
          <w:sz w:val="24"/>
          <w:szCs w:val="24"/>
          <w:lang w:val="it-IT"/>
        </w:rPr>
        <w:t xml:space="preserve"> u Donjoj Lastvi 12.08.</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Izložbe suvenira organizovane su 19.07. i 16.08. uz veliki broj zainteresovanih izlagača i posjetilaca.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Zapaženi su i koncerti </w:t>
      </w:r>
      <w:r w:rsidR="00354A60" w:rsidRPr="00D33A0B">
        <w:rPr>
          <w:rFonts w:ascii="Times New Roman" w:hAnsi="Times New Roman"/>
          <w:sz w:val="24"/>
          <w:szCs w:val="24"/>
          <w:lang w:val="it-IT"/>
        </w:rPr>
        <w:t>“</w:t>
      </w:r>
      <w:r w:rsidRPr="00D33A0B">
        <w:rPr>
          <w:rFonts w:ascii="Times New Roman" w:hAnsi="Times New Roman"/>
          <w:sz w:val="24"/>
          <w:szCs w:val="24"/>
          <w:lang w:val="it-IT"/>
        </w:rPr>
        <w:t>Tivat u rock and rollu</w:t>
      </w:r>
      <w:r w:rsidR="00354A60" w:rsidRPr="00D33A0B">
        <w:rPr>
          <w:rFonts w:ascii="Times New Roman" w:hAnsi="Times New Roman"/>
          <w:sz w:val="24"/>
          <w:szCs w:val="24"/>
          <w:lang w:val="it-IT"/>
        </w:rPr>
        <w:t>”</w:t>
      </w:r>
      <w:r w:rsidRPr="00D33A0B">
        <w:rPr>
          <w:rFonts w:ascii="Times New Roman" w:hAnsi="Times New Roman"/>
          <w:sz w:val="24"/>
          <w:szCs w:val="24"/>
          <w:lang w:val="it-IT"/>
        </w:rPr>
        <w:t xml:space="preserve"> 21.07, MVP i Bane Lalić 24.07, Goran Vukošić i Olja Karleuša u Radovićima 02.08, </w:t>
      </w:r>
      <w:r w:rsidR="00354A60" w:rsidRPr="00D33A0B">
        <w:rPr>
          <w:rFonts w:ascii="Times New Roman" w:hAnsi="Times New Roman"/>
          <w:sz w:val="24"/>
          <w:szCs w:val="24"/>
          <w:lang w:val="it-IT"/>
        </w:rPr>
        <w:t>“</w:t>
      </w:r>
      <w:r w:rsidRPr="00D33A0B">
        <w:rPr>
          <w:rFonts w:ascii="Times New Roman" w:hAnsi="Times New Roman"/>
          <w:sz w:val="24"/>
          <w:szCs w:val="24"/>
          <w:lang w:val="it-IT"/>
        </w:rPr>
        <w:t>Partibrejkersi</w:t>
      </w:r>
      <w:r w:rsidR="00354A60" w:rsidRPr="00D33A0B">
        <w:rPr>
          <w:rFonts w:ascii="Times New Roman" w:hAnsi="Times New Roman"/>
          <w:sz w:val="24"/>
          <w:szCs w:val="24"/>
          <w:lang w:val="it-IT"/>
        </w:rPr>
        <w:t>”</w:t>
      </w:r>
      <w:r w:rsidRPr="00D33A0B">
        <w:rPr>
          <w:rFonts w:ascii="Times New Roman" w:hAnsi="Times New Roman"/>
          <w:sz w:val="24"/>
          <w:szCs w:val="24"/>
          <w:lang w:val="it-IT"/>
        </w:rPr>
        <w:t xml:space="preserve"> 13.08. i za kraj </w:t>
      </w:r>
      <w:r w:rsidR="00354A60" w:rsidRPr="00D33A0B">
        <w:rPr>
          <w:rFonts w:ascii="Times New Roman" w:hAnsi="Times New Roman"/>
          <w:sz w:val="24"/>
          <w:szCs w:val="24"/>
          <w:lang w:val="it-IT"/>
        </w:rPr>
        <w:t>“</w:t>
      </w:r>
      <w:r w:rsidRPr="00D33A0B">
        <w:rPr>
          <w:rFonts w:ascii="Times New Roman" w:hAnsi="Times New Roman"/>
          <w:sz w:val="24"/>
          <w:szCs w:val="24"/>
          <w:lang w:val="it-IT"/>
        </w:rPr>
        <w:t>Mostar sevdah reunion</w:t>
      </w:r>
      <w:r w:rsidR="00354A60" w:rsidRPr="00D33A0B">
        <w:rPr>
          <w:rFonts w:ascii="Times New Roman" w:hAnsi="Times New Roman"/>
          <w:sz w:val="24"/>
          <w:szCs w:val="24"/>
          <w:lang w:val="it-IT"/>
        </w:rPr>
        <w:t>”</w:t>
      </w:r>
      <w:r w:rsidRPr="00D33A0B">
        <w:rPr>
          <w:rFonts w:ascii="Times New Roman" w:hAnsi="Times New Roman"/>
          <w:sz w:val="24"/>
          <w:szCs w:val="24"/>
          <w:lang w:val="it-IT"/>
        </w:rPr>
        <w:t xml:space="preserve"> 23.08.</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Posebno treba izdvojiti </w:t>
      </w:r>
      <w:r w:rsidR="00354A60" w:rsidRPr="00D33A0B">
        <w:rPr>
          <w:rFonts w:ascii="Times New Roman" w:hAnsi="Times New Roman"/>
          <w:sz w:val="24"/>
          <w:szCs w:val="24"/>
          <w:lang w:val="it-IT"/>
        </w:rPr>
        <w:t>“</w:t>
      </w:r>
      <w:r w:rsidRPr="00D33A0B">
        <w:rPr>
          <w:rFonts w:ascii="Times New Roman" w:hAnsi="Times New Roman"/>
          <w:sz w:val="24"/>
          <w:szCs w:val="24"/>
          <w:lang w:val="it-IT"/>
        </w:rPr>
        <w:t>I Festival uličnih performera</w:t>
      </w:r>
      <w:r w:rsidR="00354A60" w:rsidRPr="00D33A0B">
        <w:rPr>
          <w:rFonts w:ascii="Times New Roman" w:hAnsi="Times New Roman"/>
          <w:sz w:val="24"/>
          <w:szCs w:val="24"/>
          <w:lang w:val="it-IT"/>
        </w:rPr>
        <w:t>”</w:t>
      </w:r>
      <w:r w:rsidRPr="00D33A0B">
        <w:rPr>
          <w:rFonts w:ascii="Times New Roman" w:hAnsi="Times New Roman"/>
          <w:sz w:val="24"/>
          <w:szCs w:val="24"/>
          <w:lang w:val="it-IT"/>
        </w:rPr>
        <w:t xml:space="preserve"> koji se održao od 28</w:t>
      </w:r>
      <w:r w:rsidR="00354A60" w:rsidRPr="00D33A0B">
        <w:rPr>
          <w:rFonts w:ascii="Times New Roman" w:hAnsi="Times New Roman"/>
          <w:sz w:val="24"/>
          <w:szCs w:val="24"/>
          <w:lang w:val="it-IT"/>
        </w:rPr>
        <w:t>.</w:t>
      </w:r>
      <w:r w:rsidRPr="00D33A0B">
        <w:rPr>
          <w:rFonts w:ascii="Times New Roman" w:hAnsi="Times New Roman"/>
          <w:sz w:val="24"/>
          <w:szCs w:val="24"/>
          <w:lang w:val="it-IT"/>
        </w:rPr>
        <w:t xml:space="preserve"> do 30.07. u Tivtu. Izuzetne pohvale za organizaciju i izbor umjetnika koji su nastupali na ovom festivalu TO Tivat je dobila sa svih strana, tako da uz podršku opštine Tivat, planira ovaj festival održati i u 2017. godini.</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Po procjenama stručnjaka za tu oblast Tivatske ljetnje fešte pratilo je blizu 60000 posjetilaca.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Bili smo jedni od sponzora  gostovanja Ansambla ,,Tanec” iz Makedonije, Triatlona , Žućenica festa, Fešt</w:t>
      </w:r>
      <w:r w:rsidR="00354A60" w:rsidRPr="00D33A0B">
        <w:rPr>
          <w:rFonts w:ascii="Times New Roman" w:hAnsi="Times New Roman"/>
          <w:sz w:val="24"/>
          <w:szCs w:val="24"/>
          <w:lang w:val="it-IT"/>
        </w:rPr>
        <w:t xml:space="preserve">e od rogača, Jadranskih igara, </w:t>
      </w:r>
      <w:r w:rsidRPr="00D33A0B">
        <w:rPr>
          <w:rFonts w:ascii="Times New Roman" w:hAnsi="Times New Roman"/>
          <w:sz w:val="24"/>
          <w:szCs w:val="24"/>
          <w:lang w:val="it-IT"/>
        </w:rPr>
        <w:t xml:space="preserve">obezbijedili muzički program na zatvaranju </w:t>
      </w:r>
      <w:r w:rsidR="00354A60" w:rsidRPr="00D33A0B">
        <w:rPr>
          <w:rFonts w:ascii="Times New Roman" w:hAnsi="Times New Roman"/>
          <w:sz w:val="24"/>
          <w:szCs w:val="24"/>
          <w:lang w:val="it-IT"/>
        </w:rPr>
        <w:t>“</w:t>
      </w:r>
      <w:r w:rsidRPr="00D33A0B">
        <w:rPr>
          <w:rFonts w:ascii="Times New Roman" w:hAnsi="Times New Roman"/>
          <w:sz w:val="24"/>
          <w:szCs w:val="24"/>
          <w:lang w:val="it-IT"/>
        </w:rPr>
        <w:t>Bućarske olimpijade</w:t>
      </w:r>
      <w:r w:rsidR="00354A60" w:rsidRPr="00D33A0B">
        <w:rPr>
          <w:rFonts w:ascii="Times New Roman" w:hAnsi="Times New Roman"/>
          <w:sz w:val="24"/>
          <w:szCs w:val="24"/>
          <w:lang w:val="it-IT"/>
        </w:rPr>
        <w:t>”</w:t>
      </w:r>
      <w:r w:rsidRPr="00D33A0B">
        <w:rPr>
          <w:rFonts w:ascii="Times New Roman" w:hAnsi="Times New Roman"/>
          <w:sz w:val="24"/>
          <w:szCs w:val="24"/>
          <w:lang w:val="it-IT"/>
        </w:rPr>
        <w:t>. Pomogli smo i mjesne zajednice u obezbjeđivanju 5 programa koji su se održali u prostorijama istih.</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U toku ljeta gostima koji uredno plaćaju boravišnu taksu poklonili smo 100 karata za pozorišne predstave iz produkcije CZK Tivat.</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lastRenderedPageBreak/>
        <w:t>Pet puta smo organizovali doček gostiju na trajektu Kamenari- Lepetane uz priganice i predstavnike folklornog ansambla ,,Boka”.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U periodu od 01.06. do 20.09.2016. godine imali smo ukupno 40</w:t>
      </w:r>
      <w:r w:rsidR="00354A60" w:rsidRPr="00D33A0B">
        <w:rPr>
          <w:rFonts w:ascii="Times New Roman" w:hAnsi="Times New Roman"/>
          <w:sz w:val="24"/>
          <w:szCs w:val="24"/>
          <w:lang w:val="it-IT"/>
        </w:rPr>
        <w:t>.</w:t>
      </w:r>
      <w:r w:rsidRPr="00D33A0B">
        <w:rPr>
          <w:rFonts w:ascii="Times New Roman" w:hAnsi="Times New Roman"/>
          <w:sz w:val="24"/>
          <w:szCs w:val="24"/>
          <w:lang w:val="it-IT"/>
        </w:rPr>
        <w:t>249 posjeta našem sajtu od čega je 72,5%  novih posjetilaca. Najviše ih je iz Crne Gore (20</w:t>
      </w:r>
      <w:r w:rsidR="00354A60" w:rsidRPr="00D33A0B">
        <w:rPr>
          <w:rFonts w:ascii="Times New Roman" w:hAnsi="Times New Roman"/>
          <w:sz w:val="24"/>
          <w:szCs w:val="24"/>
          <w:lang w:val="it-IT"/>
        </w:rPr>
        <w:t>.</w:t>
      </w:r>
      <w:r w:rsidRPr="00D33A0B">
        <w:rPr>
          <w:rFonts w:ascii="Times New Roman" w:hAnsi="Times New Roman"/>
          <w:sz w:val="24"/>
          <w:szCs w:val="24"/>
          <w:lang w:val="it-IT"/>
        </w:rPr>
        <w:t>567), Srbije (9</w:t>
      </w:r>
      <w:r w:rsidR="00354A60" w:rsidRPr="00D33A0B">
        <w:rPr>
          <w:rFonts w:ascii="Times New Roman" w:hAnsi="Times New Roman"/>
          <w:sz w:val="24"/>
          <w:szCs w:val="24"/>
          <w:lang w:val="it-IT"/>
        </w:rPr>
        <w:t>.</w:t>
      </w:r>
      <w:r w:rsidRPr="00D33A0B">
        <w:rPr>
          <w:rFonts w:ascii="Times New Roman" w:hAnsi="Times New Roman"/>
          <w:sz w:val="24"/>
          <w:szCs w:val="24"/>
          <w:lang w:val="it-IT"/>
        </w:rPr>
        <w:t>964), BiH (2</w:t>
      </w:r>
      <w:r w:rsidR="00354A60" w:rsidRPr="00D33A0B">
        <w:rPr>
          <w:rFonts w:ascii="Times New Roman" w:hAnsi="Times New Roman"/>
          <w:sz w:val="24"/>
          <w:szCs w:val="24"/>
          <w:lang w:val="it-IT"/>
        </w:rPr>
        <w:t>.</w:t>
      </w:r>
      <w:r w:rsidRPr="00D33A0B">
        <w:rPr>
          <w:rFonts w:ascii="Times New Roman" w:hAnsi="Times New Roman"/>
          <w:sz w:val="24"/>
          <w:szCs w:val="24"/>
          <w:lang w:val="it-IT"/>
        </w:rPr>
        <w:t>113), zatim Hrvatske (807), Rusije (1</w:t>
      </w:r>
      <w:r w:rsidR="00354A60" w:rsidRPr="00D33A0B">
        <w:rPr>
          <w:rFonts w:ascii="Times New Roman" w:hAnsi="Times New Roman"/>
          <w:sz w:val="24"/>
          <w:szCs w:val="24"/>
          <w:lang w:val="it-IT"/>
        </w:rPr>
        <w:t>.</w:t>
      </w:r>
      <w:r w:rsidRPr="00D33A0B">
        <w:rPr>
          <w:rFonts w:ascii="Times New Roman" w:hAnsi="Times New Roman"/>
          <w:sz w:val="24"/>
          <w:szCs w:val="24"/>
          <w:lang w:val="it-IT"/>
        </w:rPr>
        <w:t>674), Njemačke (1</w:t>
      </w:r>
      <w:r w:rsidR="00354A60" w:rsidRPr="00D33A0B">
        <w:rPr>
          <w:rFonts w:ascii="Times New Roman" w:hAnsi="Times New Roman"/>
          <w:sz w:val="24"/>
          <w:szCs w:val="24"/>
          <w:lang w:val="it-IT"/>
        </w:rPr>
        <w:t>.</w:t>
      </w:r>
      <w:r w:rsidRPr="00D33A0B">
        <w:rPr>
          <w:rFonts w:ascii="Times New Roman" w:hAnsi="Times New Roman"/>
          <w:sz w:val="24"/>
          <w:szCs w:val="24"/>
          <w:lang w:val="it-IT"/>
        </w:rPr>
        <w:t xml:space="preserve">029), Velike Britanije (502) i Francuske (294).     </w:t>
      </w:r>
    </w:p>
    <w:p w:rsidR="00354A60"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Aktivno smo učestvovali u radu Koordinacionog tijela za praćenje turističke sezone i davali doprinos prevazilaženju utvrđenih nepravilnosti i problema.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                                   </w:t>
      </w:r>
    </w:p>
    <w:p w:rsidR="00060B91" w:rsidRPr="00D33A0B" w:rsidRDefault="00060B91" w:rsidP="00060B91">
      <w:pPr>
        <w:pStyle w:val="NoSpacing"/>
        <w:jc w:val="both"/>
        <w:rPr>
          <w:rFonts w:ascii="Times New Roman" w:hAnsi="Times New Roman"/>
          <w:b/>
          <w:sz w:val="24"/>
          <w:szCs w:val="24"/>
          <w:lang w:val="it-IT"/>
        </w:rPr>
      </w:pPr>
      <w:r w:rsidRPr="00D33A0B">
        <w:rPr>
          <w:rFonts w:ascii="Times New Roman" w:hAnsi="Times New Roman"/>
          <w:b/>
          <w:sz w:val="24"/>
          <w:szCs w:val="24"/>
          <w:lang w:val="it-IT"/>
        </w:rPr>
        <w:t>Septembar</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Početkom septembra uključili smo se u rad Organizacionog odbora za doček 2017. godine koji će organizovati Opština Tivat i Turistička organizacija grada.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Pomogli smo i 52. Svjetsko prvenstvo u ribolovu iz broda za seniore koje se održava 25 - 30.09.2016. </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Sumirani su i rezultati ankete koji su od značaja za ocjenu uspjeha glavne turističke sezone na teritoriji opštine Tivat i identifikuju snagu i slabosti u postojećoj ponudi, kao i sagledavanje mogućnosti za njeno poboljšanje (Anketa je prilog ovom izvještaju). </w:t>
      </w:r>
    </w:p>
    <w:p w:rsidR="00060B91" w:rsidRPr="00D33A0B" w:rsidRDefault="00060B91" w:rsidP="00060B91">
      <w:pPr>
        <w:pStyle w:val="NoSpacing"/>
        <w:jc w:val="both"/>
        <w:rPr>
          <w:rFonts w:ascii="Times New Roman" w:hAnsi="Times New Roman"/>
          <w:sz w:val="24"/>
          <w:szCs w:val="24"/>
          <w:lang w:val="it-IT"/>
        </w:rPr>
      </w:pPr>
    </w:p>
    <w:p w:rsidR="00060B91" w:rsidRPr="00D33A0B" w:rsidRDefault="00060B91" w:rsidP="00060B91">
      <w:pPr>
        <w:pStyle w:val="NoSpacing"/>
        <w:jc w:val="both"/>
        <w:rPr>
          <w:rFonts w:ascii="Times New Roman" w:hAnsi="Times New Roman"/>
          <w:b/>
          <w:sz w:val="24"/>
          <w:szCs w:val="24"/>
          <w:lang w:val="it-IT"/>
        </w:rPr>
      </w:pPr>
      <w:r w:rsidRPr="00D33A0B">
        <w:rPr>
          <w:rFonts w:ascii="Times New Roman" w:hAnsi="Times New Roman"/>
          <w:b/>
          <w:sz w:val="24"/>
          <w:szCs w:val="24"/>
          <w:lang w:val="it-IT"/>
        </w:rPr>
        <w:t>Ostalo</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01.01.2016. povećana je cijena boravišne takse na teritoriji opštine Tivat sa 0,70 na 0,90 eura, što je povećanje od 28,57 %. Ovo nije jedino povećanje koje je Turistička organizacija opštine Tivat ostvarila u svom radu za prvih devet mjeseci rada, nego se ono kreće u biroima i u naplati na terenu i do 40%, a zajedno sa pravnim licima i do 65%.</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Nažalost, nije se otpočelo sa naplatom boravišne takse za plovne objekte iz objektivnih razloga. 24.06.2016. MORT nas je obavijestio da u lučkim kapetanijama treba obezbijediti mjesto za radnika LTO, međutim u ispostavi Tivat nema uslova. Očekivali smo pomoć od marine PM, ali do kraja sezone nije završen objekat u kome bi se našlo mjesta i za predstavnika TO Tivat.</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Sopstvenim sredstvima obnovili smo i više znakova turističke signalizacije.</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Reklamni materijal koji je izrađen još za Novu Godinu 2016</w:t>
      </w:r>
      <w:r w:rsidR="00354A60" w:rsidRPr="00D33A0B">
        <w:rPr>
          <w:rFonts w:ascii="Times New Roman" w:hAnsi="Times New Roman"/>
          <w:sz w:val="24"/>
          <w:szCs w:val="24"/>
          <w:lang w:val="it-IT"/>
        </w:rPr>
        <w:t>.</w:t>
      </w:r>
      <w:r w:rsidRPr="00D33A0B">
        <w:rPr>
          <w:rFonts w:ascii="Times New Roman" w:hAnsi="Times New Roman"/>
          <w:sz w:val="24"/>
          <w:szCs w:val="24"/>
          <w:lang w:val="it-IT"/>
        </w:rPr>
        <w:t xml:space="preserve"> racionalno je trošen, tako da smo ga imali i to</w:t>
      </w:r>
      <w:r w:rsidR="00354A60" w:rsidRPr="00D33A0B">
        <w:rPr>
          <w:rFonts w:ascii="Times New Roman" w:hAnsi="Times New Roman"/>
          <w:sz w:val="24"/>
          <w:szCs w:val="24"/>
          <w:lang w:val="it-IT"/>
        </w:rPr>
        <w:t>kom ljeta za poklone našim poslovnim</w:t>
      </w:r>
      <w:r w:rsidRPr="00D33A0B">
        <w:rPr>
          <w:rFonts w:ascii="Times New Roman" w:hAnsi="Times New Roman"/>
          <w:sz w:val="24"/>
          <w:szCs w:val="24"/>
          <w:lang w:val="it-IT"/>
        </w:rPr>
        <w:t xml:space="preserve"> partnerima i gostima opštine.</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Redovno smo dostavljali podatke o broju gostiju svim zainteresovanim subjektima, sarađivali sa lokalnom samoupravom, javnim preduzećima, MUP-om, Domom zdravlja, Službom zaštite, ZZZCG, inspekcijskim službama i ostalim subjektima koji su na svoj način doprinijeli uspješnoj sezoni.</w:t>
      </w:r>
    </w:p>
    <w:p w:rsidR="00060B91" w:rsidRPr="00D33A0B" w:rsidRDefault="00060B91" w:rsidP="00060B91">
      <w:pPr>
        <w:pStyle w:val="NoSpacing"/>
        <w:jc w:val="both"/>
        <w:rPr>
          <w:rFonts w:ascii="Times New Roman" w:hAnsi="Times New Roman"/>
          <w:sz w:val="24"/>
          <w:szCs w:val="24"/>
          <w:lang w:val="it-IT"/>
        </w:rPr>
      </w:pPr>
    </w:p>
    <w:p w:rsidR="00060B91" w:rsidRPr="00D33A0B" w:rsidRDefault="00060B91" w:rsidP="00060B91">
      <w:pPr>
        <w:pStyle w:val="NoSpacing"/>
        <w:jc w:val="both"/>
        <w:rPr>
          <w:rFonts w:ascii="Times New Roman" w:hAnsi="Times New Roman"/>
          <w:b/>
          <w:sz w:val="24"/>
          <w:szCs w:val="24"/>
          <w:lang w:val="it-IT"/>
        </w:rPr>
      </w:pPr>
      <w:r w:rsidRPr="00D33A0B">
        <w:rPr>
          <w:rFonts w:ascii="Times New Roman" w:hAnsi="Times New Roman"/>
          <w:b/>
          <w:sz w:val="24"/>
          <w:szCs w:val="24"/>
          <w:lang w:val="it-IT"/>
        </w:rPr>
        <w:t>Administrativni kapaciteti</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Cjelokupan rad Turističke organizacije Tivat, njenih biroa, anketu i naplatu boravišne takse od fizičkih lica na terenu, uspješno su odradili, osim stalnih radnika, 11 informatora, 3 anketara, 2 naplatioca na terenu, 3 visokoškolca i 1 asistent u radu.</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Uloga TO Tivat u edukaciji kadrova za rad u turizmu ogledala se u obuci 3 srednjoškolca i pomenutih visokoškolaca.</w:t>
      </w:r>
    </w:p>
    <w:p w:rsidR="00060B91" w:rsidRPr="00D33A0B" w:rsidRDefault="00060B91" w:rsidP="00060B91">
      <w:pPr>
        <w:pStyle w:val="NoSpacing"/>
        <w:jc w:val="both"/>
        <w:rPr>
          <w:rFonts w:ascii="Times New Roman" w:hAnsi="Times New Roman"/>
          <w:sz w:val="24"/>
          <w:szCs w:val="24"/>
          <w:lang w:val="it-IT"/>
        </w:rPr>
      </w:pPr>
      <w:r w:rsidRPr="00D33A0B">
        <w:rPr>
          <w:rFonts w:ascii="Times New Roman" w:hAnsi="Times New Roman"/>
          <w:sz w:val="24"/>
          <w:szCs w:val="24"/>
          <w:lang w:val="it-IT"/>
        </w:rPr>
        <w:t xml:space="preserve">TO Tivat pokazuje i punu društvenu odgovornost, pa smo se odazivali pozivima humanitarnih, sportskih i drugih organizacija radi saradnje i pomoći.  </w:t>
      </w:r>
    </w:p>
    <w:p w:rsidR="00E5449B" w:rsidRPr="00D33A0B" w:rsidRDefault="00E5449B" w:rsidP="00E5449B">
      <w:pPr>
        <w:jc w:val="both"/>
        <w:rPr>
          <w:sz w:val="28"/>
          <w:szCs w:val="28"/>
          <w:lang w:val="it-IT"/>
        </w:rPr>
      </w:pPr>
    </w:p>
    <w:p w:rsidR="00E5449B" w:rsidRPr="00D33A0B" w:rsidRDefault="00E5449B" w:rsidP="00E5449B">
      <w:pPr>
        <w:jc w:val="both"/>
        <w:rPr>
          <w:sz w:val="28"/>
          <w:szCs w:val="28"/>
          <w:lang w:val="sr-Latn-CS"/>
        </w:rPr>
      </w:pPr>
    </w:p>
    <w:p w:rsidR="00E5449B" w:rsidRPr="00D33A0B" w:rsidRDefault="00E5449B" w:rsidP="00E5449B">
      <w:pPr>
        <w:jc w:val="both"/>
        <w:rPr>
          <w:sz w:val="28"/>
          <w:szCs w:val="28"/>
          <w:lang w:val="sr-Latn-CS"/>
        </w:rPr>
      </w:pPr>
    </w:p>
    <w:p w:rsidR="00E5449B" w:rsidRPr="00D33A0B" w:rsidRDefault="00E5449B" w:rsidP="00E5449B">
      <w:pPr>
        <w:jc w:val="both"/>
        <w:rPr>
          <w:sz w:val="28"/>
          <w:szCs w:val="28"/>
          <w:lang w:val="sr-Latn-CS"/>
        </w:rPr>
      </w:pPr>
    </w:p>
    <w:p w:rsidR="00E5449B" w:rsidRPr="00D33A0B" w:rsidRDefault="00E5449B" w:rsidP="00E5449B">
      <w:pPr>
        <w:jc w:val="both"/>
        <w:rPr>
          <w:sz w:val="28"/>
          <w:szCs w:val="28"/>
          <w:lang w:val="sr-Latn-CS"/>
        </w:rPr>
      </w:pPr>
    </w:p>
    <w:p w:rsidR="00E5449B" w:rsidRPr="00D33A0B" w:rsidRDefault="00E5449B" w:rsidP="00E5449B">
      <w:pPr>
        <w:jc w:val="both"/>
        <w:rPr>
          <w:sz w:val="28"/>
          <w:szCs w:val="28"/>
          <w:lang w:val="sr-Latn-CS"/>
        </w:rPr>
      </w:pPr>
    </w:p>
    <w:p w:rsidR="00E5449B" w:rsidRPr="00D33A0B" w:rsidRDefault="00E5449B" w:rsidP="00E5449B">
      <w:pPr>
        <w:jc w:val="both"/>
        <w:rPr>
          <w:sz w:val="28"/>
          <w:szCs w:val="28"/>
          <w:lang w:val="sr-Latn-CS"/>
        </w:rPr>
      </w:pPr>
    </w:p>
    <w:p w:rsidR="00E5449B" w:rsidRPr="00D33A0B" w:rsidRDefault="00E5449B" w:rsidP="00E5449B">
      <w:pPr>
        <w:numPr>
          <w:ilvl w:val="0"/>
          <w:numId w:val="7"/>
        </w:numPr>
        <w:jc w:val="both"/>
        <w:rPr>
          <w:b/>
          <w:i/>
          <w:sz w:val="28"/>
          <w:szCs w:val="28"/>
          <w:lang w:val="sr-Latn-CS"/>
        </w:rPr>
      </w:pPr>
      <w:r w:rsidRPr="00D33A0B">
        <w:rPr>
          <w:b/>
          <w:i/>
          <w:sz w:val="28"/>
          <w:szCs w:val="28"/>
          <w:lang w:val="sr-Latn-CS"/>
        </w:rPr>
        <w:lastRenderedPageBreak/>
        <w:t>TURISTIČKI PROMET U TIVTU – MONSTAT (tabelarni prikaz)</w:t>
      </w:r>
    </w:p>
    <w:p w:rsidR="00E5449B" w:rsidRPr="00D33A0B" w:rsidRDefault="00E5449B" w:rsidP="00E5449B">
      <w:pPr>
        <w:jc w:val="both"/>
        <w:rPr>
          <w:sz w:val="28"/>
          <w:szCs w:val="28"/>
          <w:lang w:val="sr-Latn-CS"/>
        </w:rPr>
      </w:pPr>
    </w:p>
    <w:p w:rsidR="00E5449B" w:rsidRPr="00D33A0B" w:rsidRDefault="007A08F2" w:rsidP="00E5449B">
      <w:pPr>
        <w:jc w:val="both"/>
        <w:rPr>
          <w:b/>
          <w:i/>
          <w:lang w:val="sr-Latn-CS"/>
        </w:rPr>
      </w:pPr>
      <w:r w:rsidRPr="00D33A0B">
        <w:rPr>
          <w:b/>
          <w:i/>
          <w:lang w:val="sr-Latn-CS"/>
        </w:rPr>
        <w:t>Januar - Avgust 2015/2016</w:t>
      </w:r>
    </w:p>
    <w:p w:rsidR="00E5449B" w:rsidRPr="00D33A0B" w:rsidRDefault="00E5449B" w:rsidP="00E5449B">
      <w:pPr>
        <w:jc w:val="both"/>
        <w:rPr>
          <w:b/>
          <w:sz w:val="28"/>
          <w:szCs w:val="28"/>
          <w:lang w:val="sr-Latn-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755"/>
        <w:gridCol w:w="1346"/>
        <w:gridCol w:w="1252"/>
        <w:gridCol w:w="1508"/>
        <w:gridCol w:w="1306"/>
        <w:gridCol w:w="1218"/>
        <w:gridCol w:w="1469"/>
      </w:tblGrid>
      <w:tr w:rsidR="00E5449B" w:rsidRPr="00D33A0B" w:rsidTr="007A08F2">
        <w:tc>
          <w:tcPr>
            <w:tcW w:w="1755" w:type="dxa"/>
            <w:shd w:val="solid" w:color="000080" w:fill="FFFFFF"/>
          </w:tcPr>
          <w:p w:rsidR="00E5449B" w:rsidRPr="00D33A0B" w:rsidRDefault="00E5449B" w:rsidP="004D1F76">
            <w:pPr>
              <w:jc w:val="both"/>
              <w:rPr>
                <w:b/>
                <w:bCs/>
                <w:lang w:val="sr-Latn-CS"/>
              </w:rPr>
            </w:pPr>
            <w:r w:rsidRPr="00D33A0B">
              <w:rPr>
                <w:b/>
                <w:bCs/>
                <w:lang w:val="sr-Latn-CS"/>
              </w:rPr>
              <w:t>201</w:t>
            </w:r>
            <w:r w:rsidR="007A08F2" w:rsidRPr="00D33A0B">
              <w:rPr>
                <w:b/>
                <w:bCs/>
                <w:lang w:val="sr-Latn-CS"/>
              </w:rPr>
              <w:t>5</w:t>
            </w:r>
          </w:p>
        </w:tc>
        <w:tc>
          <w:tcPr>
            <w:tcW w:w="4106" w:type="dxa"/>
            <w:gridSpan w:val="3"/>
            <w:shd w:val="solid" w:color="000080" w:fill="FFFFFF"/>
          </w:tcPr>
          <w:p w:rsidR="00E5449B" w:rsidRPr="00D33A0B" w:rsidRDefault="00E5449B" w:rsidP="004D1F76">
            <w:pPr>
              <w:jc w:val="center"/>
              <w:rPr>
                <w:b/>
                <w:bCs/>
                <w:lang w:val="sr-Latn-CS"/>
              </w:rPr>
            </w:pPr>
            <w:r w:rsidRPr="00D33A0B">
              <w:rPr>
                <w:b/>
                <w:bCs/>
                <w:lang w:val="sr-Latn-CS"/>
              </w:rPr>
              <w:t>POSJETIOCI</w:t>
            </w:r>
          </w:p>
        </w:tc>
        <w:tc>
          <w:tcPr>
            <w:tcW w:w="3993" w:type="dxa"/>
            <w:gridSpan w:val="3"/>
            <w:shd w:val="solid" w:color="000080" w:fill="FFFFFF"/>
          </w:tcPr>
          <w:p w:rsidR="00E5449B" w:rsidRPr="00D33A0B" w:rsidRDefault="00E5449B" w:rsidP="004D1F76">
            <w:pPr>
              <w:jc w:val="center"/>
              <w:rPr>
                <w:b/>
                <w:bCs/>
                <w:lang w:val="sr-Latn-CS"/>
              </w:rPr>
            </w:pPr>
            <w:r w:rsidRPr="00D33A0B">
              <w:rPr>
                <w:b/>
                <w:bCs/>
                <w:lang w:val="sr-Latn-CS"/>
              </w:rPr>
              <w:t>NOĆENJA</w:t>
            </w:r>
          </w:p>
        </w:tc>
      </w:tr>
      <w:tr w:rsidR="00E5449B" w:rsidRPr="00D33A0B" w:rsidTr="007A08F2">
        <w:tc>
          <w:tcPr>
            <w:tcW w:w="1755" w:type="dxa"/>
            <w:shd w:val="clear" w:color="auto" w:fill="auto"/>
          </w:tcPr>
          <w:p w:rsidR="00E5449B" w:rsidRPr="00D33A0B" w:rsidRDefault="00E5449B" w:rsidP="004D1F76">
            <w:pPr>
              <w:jc w:val="both"/>
              <w:rPr>
                <w:b/>
                <w:lang w:val="sr-Latn-CS"/>
              </w:rPr>
            </w:pPr>
          </w:p>
        </w:tc>
        <w:tc>
          <w:tcPr>
            <w:tcW w:w="1346" w:type="dxa"/>
            <w:shd w:val="clear" w:color="auto" w:fill="auto"/>
          </w:tcPr>
          <w:p w:rsidR="00E5449B" w:rsidRPr="00D33A0B" w:rsidRDefault="00E5449B" w:rsidP="004D1F76">
            <w:pPr>
              <w:jc w:val="center"/>
              <w:rPr>
                <w:b/>
                <w:lang w:val="sr-Latn-CS"/>
              </w:rPr>
            </w:pPr>
            <w:r w:rsidRPr="00D33A0B">
              <w:rPr>
                <w:b/>
                <w:lang w:val="sr-Latn-CS"/>
              </w:rPr>
              <w:t>Domaći</w:t>
            </w:r>
          </w:p>
        </w:tc>
        <w:tc>
          <w:tcPr>
            <w:tcW w:w="1252" w:type="dxa"/>
            <w:shd w:val="clear" w:color="auto" w:fill="auto"/>
          </w:tcPr>
          <w:p w:rsidR="00E5449B" w:rsidRPr="00D33A0B" w:rsidRDefault="00E5449B" w:rsidP="004D1F76">
            <w:pPr>
              <w:jc w:val="center"/>
              <w:rPr>
                <w:b/>
                <w:lang w:val="sr-Latn-CS"/>
              </w:rPr>
            </w:pPr>
            <w:r w:rsidRPr="00D33A0B">
              <w:rPr>
                <w:b/>
                <w:lang w:val="sr-Latn-CS"/>
              </w:rPr>
              <w:t>Strani</w:t>
            </w:r>
          </w:p>
        </w:tc>
        <w:tc>
          <w:tcPr>
            <w:tcW w:w="1508" w:type="dxa"/>
            <w:shd w:val="clear" w:color="auto" w:fill="auto"/>
          </w:tcPr>
          <w:p w:rsidR="00E5449B" w:rsidRPr="00D33A0B" w:rsidRDefault="00E5449B" w:rsidP="004D1F76">
            <w:pPr>
              <w:jc w:val="center"/>
              <w:rPr>
                <w:b/>
                <w:lang w:val="sr-Latn-CS"/>
              </w:rPr>
            </w:pPr>
            <w:r w:rsidRPr="00D33A0B">
              <w:rPr>
                <w:b/>
                <w:lang w:val="sr-Latn-CS"/>
              </w:rPr>
              <w:t>UKUPNO</w:t>
            </w:r>
          </w:p>
        </w:tc>
        <w:tc>
          <w:tcPr>
            <w:tcW w:w="1306" w:type="dxa"/>
            <w:shd w:val="clear" w:color="auto" w:fill="auto"/>
          </w:tcPr>
          <w:p w:rsidR="00E5449B" w:rsidRPr="00D33A0B" w:rsidRDefault="00E5449B" w:rsidP="004D1F76">
            <w:pPr>
              <w:jc w:val="center"/>
              <w:rPr>
                <w:b/>
                <w:lang w:val="sr-Latn-CS"/>
              </w:rPr>
            </w:pPr>
            <w:r w:rsidRPr="00D33A0B">
              <w:rPr>
                <w:b/>
                <w:lang w:val="sr-Latn-CS"/>
              </w:rPr>
              <w:t>Domaći</w:t>
            </w:r>
          </w:p>
        </w:tc>
        <w:tc>
          <w:tcPr>
            <w:tcW w:w="1218" w:type="dxa"/>
            <w:shd w:val="clear" w:color="auto" w:fill="auto"/>
          </w:tcPr>
          <w:p w:rsidR="00E5449B" w:rsidRPr="00D33A0B" w:rsidRDefault="00E5449B" w:rsidP="004D1F76">
            <w:pPr>
              <w:jc w:val="center"/>
              <w:rPr>
                <w:b/>
                <w:lang w:val="sr-Latn-CS"/>
              </w:rPr>
            </w:pPr>
            <w:r w:rsidRPr="00D33A0B">
              <w:rPr>
                <w:b/>
                <w:lang w:val="sr-Latn-CS"/>
              </w:rPr>
              <w:t>Strani</w:t>
            </w:r>
          </w:p>
        </w:tc>
        <w:tc>
          <w:tcPr>
            <w:tcW w:w="1469" w:type="dxa"/>
            <w:shd w:val="clear" w:color="auto" w:fill="auto"/>
          </w:tcPr>
          <w:p w:rsidR="00E5449B" w:rsidRPr="00D33A0B" w:rsidRDefault="00E5449B" w:rsidP="004D1F76">
            <w:pPr>
              <w:jc w:val="center"/>
              <w:rPr>
                <w:b/>
                <w:bCs/>
                <w:lang w:val="sr-Latn-CS"/>
              </w:rPr>
            </w:pPr>
            <w:r w:rsidRPr="00D33A0B">
              <w:rPr>
                <w:b/>
                <w:bCs/>
                <w:lang w:val="sr-Latn-CS"/>
              </w:rPr>
              <w:t>UKUPNO</w:t>
            </w:r>
          </w:p>
        </w:tc>
      </w:tr>
      <w:tr w:rsidR="007A08F2" w:rsidRPr="00D33A0B" w:rsidTr="007A08F2">
        <w:tc>
          <w:tcPr>
            <w:tcW w:w="1755" w:type="dxa"/>
            <w:shd w:val="clear" w:color="auto" w:fill="auto"/>
          </w:tcPr>
          <w:p w:rsidR="007A08F2" w:rsidRPr="00D33A0B" w:rsidRDefault="007A08F2" w:rsidP="004D1F76">
            <w:pPr>
              <w:jc w:val="both"/>
              <w:rPr>
                <w:b/>
                <w:bCs/>
                <w:lang w:val="sr-Latn-CS"/>
              </w:rPr>
            </w:pPr>
            <w:r w:rsidRPr="00D33A0B">
              <w:rPr>
                <w:b/>
                <w:bCs/>
                <w:lang w:val="sr-Latn-CS"/>
              </w:rPr>
              <w:t>UKUPNO:</w:t>
            </w:r>
          </w:p>
        </w:tc>
        <w:tc>
          <w:tcPr>
            <w:tcW w:w="1346" w:type="dxa"/>
            <w:shd w:val="clear" w:color="auto" w:fill="auto"/>
          </w:tcPr>
          <w:p w:rsidR="007A08F2" w:rsidRPr="00D33A0B" w:rsidRDefault="007A08F2" w:rsidP="003D3B12">
            <w:pPr>
              <w:jc w:val="center"/>
              <w:rPr>
                <w:b/>
                <w:bCs/>
                <w:lang w:val="sr-Latn-CS"/>
              </w:rPr>
            </w:pPr>
            <w:r w:rsidRPr="00D33A0B">
              <w:rPr>
                <w:b/>
                <w:bCs/>
                <w:lang w:val="sr-Latn-CS"/>
              </w:rPr>
              <w:t>3824</w:t>
            </w:r>
          </w:p>
        </w:tc>
        <w:tc>
          <w:tcPr>
            <w:tcW w:w="1252" w:type="dxa"/>
            <w:shd w:val="clear" w:color="auto" w:fill="auto"/>
          </w:tcPr>
          <w:p w:rsidR="007A08F2" w:rsidRPr="00D33A0B" w:rsidRDefault="007A08F2" w:rsidP="003D3B12">
            <w:pPr>
              <w:jc w:val="center"/>
              <w:rPr>
                <w:b/>
                <w:bCs/>
                <w:lang w:val="sr-Latn-CS"/>
              </w:rPr>
            </w:pPr>
            <w:r w:rsidRPr="00D33A0B">
              <w:rPr>
                <w:b/>
                <w:bCs/>
                <w:lang w:val="sr-Latn-CS"/>
              </w:rPr>
              <w:t>49375</w:t>
            </w:r>
          </w:p>
        </w:tc>
        <w:tc>
          <w:tcPr>
            <w:tcW w:w="1508" w:type="dxa"/>
            <w:shd w:val="clear" w:color="auto" w:fill="000080"/>
          </w:tcPr>
          <w:p w:rsidR="007A08F2" w:rsidRPr="00D33A0B" w:rsidRDefault="007A08F2" w:rsidP="003D3B12">
            <w:pPr>
              <w:jc w:val="center"/>
              <w:rPr>
                <w:b/>
                <w:bCs/>
                <w:lang w:val="sr-Latn-CS"/>
              </w:rPr>
            </w:pPr>
            <w:r w:rsidRPr="00D33A0B">
              <w:rPr>
                <w:b/>
                <w:bCs/>
                <w:lang w:val="sr-Latn-CS"/>
              </w:rPr>
              <w:t>53199</w:t>
            </w:r>
          </w:p>
        </w:tc>
        <w:tc>
          <w:tcPr>
            <w:tcW w:w="1306" w:type="dxa"/>
            <w:shd w:val="clear" w:color="auto" w:fill="auto"/>
          </w:tcPr>
          <w:p w:rsidR="007A08F2" w:rsidRPr="00D33A0B" w:rsidRDefault="007A08F2" w:rsidP="003D3B12">
            <w:pPr>
              <w:jc w:val="center"/>
              <w:rPr>
                <w:b/>
                <w:bCs/>
                <w:lang w:val="sr-Latn-CS"/>
              </w:rPr>
            </w:pPr>
            <w:r w:rsidRPr="00D33A0B">
              <w:rPr>
                <w:b/>
                <w:bCs/>
                <w:lang w:val="sr-Latn-CS"/>
              </w:rPr>
              <w:t>16555</w:t>
            </w:r>
          </w:p>
        </w:tc>
        <w:tc>
          <w:tcPr>
            <w:tcW w:w="1218" w:type="dxa"/>
            <w:shd w:val="clear" w:color="auto" w:fill="auto"/>
          </w:tcPr>
          <w:p w:rsidR="007A08F2" w:rsidRPr="00D33A0B" w:rsidRDefault="007A08F2" w:rsidP="003D3B12">
            <w:pPr>
              <w:jc w:val="center"/>
              <w:rPr>
                <w:b/>
                <w:bCs/>
                <w:lang w:val="sr-Latn-CS"/>
              </w:rPr>
            </w:pPr>
            <w:r w:rsidRPr="00D33A0B">
              <w:rPr>
                <w:b/>
                <w:bCs/>
                <w:lang w:val="sr-Latn-CS"/>
              </w:rPr>
              <w:t>542454</w:t>
            </w:r>
          </w:p>
        </w:tc>
        <w:tc>
          <w:tcPr>
            <w:tcW w:w="1469" w:type="dxa"/>
            <w:shd w:val="clear" w:color="auto" w:fill="000080"/>
          </w:tcPr>
          <w:p w:rsidR="007A08F2" w:rsidRPr="00D33A0B" w:rsidRDefault="007A08F2" w:rsidP="003D3B12">
            <w:pPr>
              <w:jc w:val="center"/>
              <w:rPr>
                <w:b/>
                <w:bCs/>
                <w:lang w:val="sr-Latn-CS"/>
              </w:rPr>
            </w:pPr>
            <w:r w:rsidRPr="00D33A0B">
              <w:rPr>
                <w:b/>
                <w:bCs/>
                <w:lang w:val="sr-Latn-CS"/>
              </w:rPr>
              <w:t>559009</w:t>
            </w:r>
          </w:p>
        </w:tc>
      </w:tr>
    </w:tbl>
    <w:p w:rsidR="00E5449B" w:rsidRPr="00D33A0B" w:rsidRDefault="00E5449B" w:rsidP="00E5449B">
      <w:pPr>
        <w:jc w:val="both"/>
        <w:rPr>
          <w:b/>
          <w:lang w:val="sr-Latn-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747"/>
        <w:gridCol w:w="1339"/>
        <w:gridCol w:w="1244"/>
        <w:gridCol w:w="1503"/>
        <w:gridCol w:w="1300"/>
        <w:gridCol w:w="1257"/>
        <w:gridCol w:w="1464"/>
      </w:tblGrid>
      <w:tr w:rsidR="00E5449B" w:rsidRPr="00D33A0B" w:rsidTr="004D1F76">
        <w:tc>
          <w:tcPr>
            <w:tcW w:w="2508" w:type="dxa"/>
            <w:shd w:val="solid" w:color="000080" w:fill="FFFFFF"/>
          </w:tcPr>
          <w:p w:rsidR="00E5449B" w:rsidRPr="00D33A0B" w:rsidRDefault="00E5449B" w:rsidP="004D1F76">
            <w:pPr>
              <w:jc w:val="both"/>
              <w:rPr>
                <w:b/>
                <w:bCs/>
                <w:lang w:val="sr-Latn-CS"/>
              </w:rPr>
            </w:pPr>
            <w:r w:rsidRPr="00D33A0B">
              <w:rPr>
                <w:b/>
                <w:bCs/>
                <w:lang w:val="sr-Latn-CS"/>
              </w:rPr>
              <w:t>201</w:t>
            </w:r>
            <w:r w:rsidR="007A08F2" w:rsidRPr="00D33A0B">
              <w:rPr>
                <w:b/>
                <w:bCs/>
                <w:lang w:val="sr-Latn-CS"/>
              </w:rPr>
              <w:t>6</w:t>
            </w:r>
          </w:p>
        </w:tc>
        <w:tc>
          <w:tcPr>
            <w:tcW w:w="5880" w:type="dxa"/>
            <w:gridSpan w:val="3"/>
            <w:shd w:val="solid" w:color="000080" w:fill="FFFFFF"/>
          </w:tcPr>
          <w:p w:rsidR="00E5449B" w:rsidRPr="00D33A0B" w:rsidRDefault="00E5449B" w:rsidP="004D1F76">
            <w:pPr>
              <w:jc w:val="center"/>
              <w:rPr>
                <w:b/>
                <w:bCs/>
                <w:lang w:val="sr-Latn-CS"/>
              </w:rPr>
            </w:pPr>
            <w:r w:rsidRPr="00D33A0B">
              <w:rPr>
                <w:b/>
                <w:bCs/>
                <w:lang w:val="sr-Latn-CS"/>
              </w:rPr>
              <w:t>POSJETIOCI</w:t>
            </w:r>
          </w:p>
        </w:tc>
        <w:tc>
          <w:tcPr>
            <w:tcW w:w="5549" w:type="dxa"/>
            <w:gridSpan w:val="3"/>
            <w:shd w:val="solid" w:color="000080" w:fill="FFFFFF"/>
          </w:tcPr>
          <w:p w:rsidR="00E5449B" w:rsidRPr="00D33A0B" w:rsidRDefault="00E5449B" w:rsidP="004D1F76">
            <w:pPr>
              <w:jc w:val="center"/>
              <w:rPr>
                <w:b/>
                <w:bCs/>
                <w:lang w:val="sr-Latn-CS"/>
              </w:rPr>
            </w:pPr>
            <w:r w:rsidRPr="00D33A0B">
              <w:rPr>
                <w:b/>
                <w:bCs/>
                <w:lang w:val="sr-Latn-CS"/>
              </w:rPr>
              <w:t>NOĆENJA</w:t>
            </w:r>
          </w:p>
        </w:tc>
      </w:tr>
      <w:tr w:rsidR="00E5449B" w:rsidRPr="00D33A0B" w:rsidTr="004D1F76">
        <w:tc>
          <w:tcPr>
            <w:tcW w:w="2508" w:type="dxa"/>
            <w:shd w:val="clear" w:color="auto" w:fill="auto"/>
          </w:tcPr>
          <w:p w:rsidR="00E5449B" w:rsidRPr="00D33A0B" w:rsidRDefault="00E5449B" w:rsidP="004D1F76">
            <w:pPr>
              <w:jc w:val="both"/>
              <w:rPr>
                <w:b/>
                <w:lang w:val="sr-Latn-CS"/>
              </w:rPr>
            </w:pPr>
          </w:p>
        </w:tc>
        <w:tc>
          <w:tcPr>
            <w:tcW w:w="1960" w:type="dxa"/>
            <w:shd w:val="clear" w:color="auto" w:fill="auto"/>
          </w:tcPr>
          <w:p w:rsidR="00E5449B" w:rsidRPr="00D33A0B" w:rsidRDefault="00E5449B" w:rsidP="004D1F76">
            <w:pPr>
              <w:jc w:val="center"/>
              <w:rPr>
                <w:b/>
                <w:lang w:val="sr-Latn-CS"/>
              </w:rPr>
            </w:pPr>
            <w:r w:rsidRPr="00D33A0B">
              <w:rPr>
                <w:b/>
                <w:lang w:val="sr-Latn-CS"/>
              </w:rPr>
              <w:t>Domaći</w:t>
            </w:r>
          </w:p>
        </w:tc>
        <w:tc>
          <w:tcPr>
            <w:tcW w:w="1960" w:type="dxa"/>
            <w:shd w:val="clear" w:color="auto" w:fill="auto"/>
          </w:tcPr>
          <w:p w:rsidR="00E5449B" w:rsidRPr="00D33A0B" w:rsidRDefault="00E5449B" w:rsidP="004D1F76">
            <w:pPr>
              <w:jc w:val="center"/>
              <w:rPr>
                <w:b/>
                <w:lang w:val="sr-Latn-CS"/>
              </w:rPr>
            </w:pPr>
            <w:r w:rsidRPr="00D33A0B">
              <w:rPr>
                <w:b/>
                <w:lang w:val="sr-Latn-CS"/>
              </w:rPr>
              <w:t>Strani</w:t>
            </w:r>
          </w:p>
        </w:tc>
        <w:tc>
          <w:tcPr>
            <w:tcW w:w="1960" w:type="dxa"/>
            <w:shd w:val="clear" w:color="auto" w:fill="auto"/>
          </w:tcPr>
          <w:p w:rsidR="00E5449B" w:rsidRPr="00D33A0B" w:rsidRDefault="00E5449B" w:rsidP="004D1F76">
            <w:pPr>
              <w:jc w:val="center"/>
              <w:rPr>
                <w:b/>
                <w:lang w:val="sr-Latn-CS"/>
              </w:rPr>
            </w:pPr>
            <w:r w:rsidRPr="00D33A0B">
              <w:rPr>
                <w:b/>
                <w:lang w:val="sr-Latn-CS"/>
              </w:rPr>
              <w:t>UKUPNO</w:t>
            </w:r>
          </w:p>
        </w:tc>
        <w:tc>
          <w:tcPr>
            <w:tcW w:w="1849" w:type="dxa"/>
            <w:shd w:val="clear" w:color="auto" w:fill="auto"/>
          </w:tcPr>
          <w:p w:rsidR="00E5449B" w:rsidRPr="00D33A0B" w:rsidRDefault="00E5449B" w:rsidP="004D1F76">
            <w:pPr>
              <w:jc w:val="center"/>
              <w:rPr>
                <w:b/>
                <w:lang w:val="sr-Latn-CS"/>
              </w:rPr>
            </w:pPr>
            <w:r w:rsidRPr="00D33A0B">
              <w:rPr>
                <w:b/>
                <w:lang w:val="sr-Latn-CS"/>
              </w:rPr>
              <w:t>Domaći</w:t>
            </w:r>
          </w:p>
        </w:tc>
        <w:tc>
          <w:tcPr>
            <w:tcW w:w="1850" w:type="dxa"/>
            <w:shd w:val="clear" w:color="auto" w:fill="auto"/>
          </w:tcPr>
          <w:p w:rsidR="00E5449B" w:rsidRPr="00D33A0B" w:rsidRDefault="00E5449B" w:rsidP="004D1F76">
            <w:pPr>
              <w:jc w:val="center"/>
              <w:rPr>
                <w:b/>
                <w:lang w:val="sr-Latn-CS"/>
              </w:rPr>
            </w:pPr>
            <w:r w:rsidRPr="00D33A0B">
              <w:rPr>
                <w:b/>
                <w:lang w:val="sr-Latn-CS"/>
              </w:rPr>
              <w:t>Strani</w:t>
            </w:r>
          </w:p>
        </w:tc>
        <w:tc>
          <w:tcPr>
            <w:tcW w:w="1850" w:type="dxa"/>
            <w:shd w:val="clear" w:color="auto" w:fill="auto"/>
          </w:tcPr>
          <w:p w:rsidR="00E5449B" w:rsidRPr="00D33A0B" w:rsidRDefault="00E5449B" w:rsidP="004D1F76">
            <w:pPr>
              <w:jc w:val="center"/>
              <w:rPr>
                <w:b/>
                <w:bCs/>
                <w:lang w:val="sr-Latn-CS"/>
              </w:rPr>
            </w:pPr>
            <w:r w:rsidRPr="00D33A0B">
              <w:rPr>
                <w:b/>
                <w:bCs/>
                <w:lang w:val="sr-Latn-CS"/>
              </w:rPr>
              <w:t>UKUPNO</w:t>
            </w:r>
          </w:p>
        </w:tc>
      </w:tr>
      <w:tr w:rsidR="00E5449B" w:rsidRPr="00D33A0B" w:rsidTr="004D1F76">
        <w:tc>
          <w:tcPr>
            <w:tcW w:w="2508" w:type="dxa"/>
            <w:shd w:val="clear" w:color="auto" w:fill="auto"/>
          </w:tcPr>
          <w:p w:rsidR="00E5449B" w:rsidRPr="00D33A0B" w:rsidRDefault="00E5449B" w:rsidP="004D1F76">
            <w:pPr>
              <w:jc w:val="both"/>
              <w:rPr>
                <w:b/>
                <w:bCs/>
                <w:lang w:val="sr-Latn-CS"/>
              </w:rPr>
            </w:pPr>
            <w:r w:rsidRPr="00D33A0B">
              <w:rPr>
                <w:b/>
                <w:bCs/>
                <w:lang w:val="sr-Latn-CS"/>
              </w:rPr>
              <w:t>UKUPNO:</w:t>
            </w:r>
          </w:p>
        </w:tc>
        <w:tc>
          <w:tcPr>
            <w:tcW w:w="1960" w:type="dxa"/>
            <w:shd w:val="clear" w:color="auto" w:fill="auto"/>
          </w:tcPr>
          <w:p w:rsidR="00E5449B" w:rsidRPr="00D33A0B" w:rsidRDefault="003B64B5" w:rsidP="004D1F76">
            <w:pPr>
              <w:jc w:val="center"/>
              <w:rPr>
                <w:b/>
                <w:bCs/>
                <w:lang w:val="sr-Latn-CS"/>
              </w:rPr>
            </w:pPr>
            <w:r w:rsidRPr="00D33A0B">
              <w:rPr>
                <w:b/>
                <w:bCs/>
                <w:lang w:val="sr-Latn-CS"/>
              </w:rPr>
              <w:t>3734</w:t>
            </w:r>
          </w:p>
        </w:tc>
        <w:tc>
          <w:tcPr>
            <w:tcW w:w="1960" w:type="dxa"/>
            <w:shd w:val="clear" w:color="auto" w:fill="auto"/>
          </w:tcPr>
          <w:p w:rsidR="00E5449B" w:rsidRPr="00D33A0B" w:rsidRDefault="003B64B5" w:rsidP="004D1F76">
            <w:pPr>
              <w:jc w:val="center"/>
              <w:rPr>
                <w:b/>
                <w:bCs/>
                <w:lang w:val="sr-Latn-CS"/>
              </w:rPr>
            </w:pPr>
            <w:r w:rsidRPr="00D33A0B">
              <w:rPr>
                <w:b/>
                <w:bCs/>
                <w:lang w:val="sr-Latn-CS"/>
              </w:rPr>
              <w:t>54079</w:t>
            </w:r>
          </w:p>
        </w:tc>
        <w:tc>
          <w:tcPr>
            <w:tcW w:w="1960" w:type="dxa"/>
            <w:shd w:val="clear" w:color="auto" w:fill="000080"/>
          </w:tcPr>
          <w:p w:rsidR="00E5449B" w:rsidRPr="00D33A0B" w:rsidRDefault="003B64B5" w:rsidP="004D1F76">
            <w:pPr>
              <w:jc w:val="center"/>
              <w:rPr>
                <w:b/>
                <w:bCs/>
                <w:lang w:val="sr-Latn-CS"/>
              </w:rPr>
            </w:pPr>
            <w:r w:rsidRPr="00D33A0B">
              <w:rPr>
                <w:b/>
                <w:bCs/>
                <w:lang w:val="sr-Latn-CS"/>
              </w:rPr>
              <w:t>57813</w:t>
            </w:r>
          </w:p>
        </w:tc>
        <w:tc>
          <w:tcPr>
            <w:tcW w:w="1849" w:type="dxa"/>
            <w:shd w:val="clear" w:color="auto" w:fill="auto"/>
          </w:tcPr>
          <w:p w:rsidR="00E5449B" w:rsidRPr="00D33A0B" w:rsidRDefault="003B64B5" w:rsidP="004D1F76">
            <w:pPr>
              <w:jc w:val="center"/>
              <w:rPr>
                <w:b/>
                <w:bCs/>
                <w:lang w:val="sr-Latn-CS"/>
              </w:rPr>
            </w:pPr>
            <w:r w:rsidRPr="00D33A0B">
              <w:rPr>
                <w:b/>
                <w:bCs/>
                <w:lang w:val="sr-Latn-CS"/>
              </w:rPr>
              <w:t>16753</w:t>
            </w:r>
          </w:p>
        </w:tc>
        <w:tc>
          <w:tcPr>
            <w:tcW w:w="1850" w:type="dxa"/>
            <w:shd w:val="clear" w:color="auto" w:fill="auto"/>
          </w:tcPr>
          <w:p w:rsidR="00E5449B" w:rsidRPr="00D33A0B" w:rsidRDefault="003B64B5" w:rsidP="004D1F76">
            <w:pPr>
              <w:jc w:val="center"/>
              <w:rPr>
                <w:b/>
                <w:bCs/>
                <w:lang w:val="sr-Latn-CS"/>
              </w:rPr>
            </w:pPr>
            <w:r w:rsidRPr="00D33A0B">
              <w:rPr>
                <w:b/>
                <w:bCs/>
                <w:lang w:val="sr-Latn-CS"/>
              </w:rPr>
              <w:t>582730</w:t>
            </w:r>
          </w:p>
        </w:tc>
        <w:tc>
          <w:tcPr>
            <w:tcW w:w="1850" w:type="dxa"/>
            <w:shd w:val="clear" w:color="auto" w:fill="000080"/>
          </w:tcPr>
          <w:p w:rsidR="00E5449B" w:rsidRPr="00D33A0B" w:rsidRDefault="003B64B5" w:rsidP="004D1F76">
            <w:pPr>
              <w:jc w:val="center"/>
              <w:rPr>
                <w:b/>
                <w:bCs/>
                <w:lang w:val="sr-Latn-CS"/>
              </w:rPr>
            </w:pPr>
            <w:r w:rsidRPr="00D33A0B">
              <w:rPr>
                <w:b/>
                <w:bCs/>
                <w:lang w:val="sr-Latn-CS"/>
              </w:rPr>
              <w:t>599483</w:t>
            </w:r>
          </w:p>
        </w:tc>
      </w:tr>
    </w:tbl>
    <w:p w:rsidR="00E5449B" w:rsidRPr="00D33A0B" w:rsidRDefault="00E5449B" w:rsidP="00E5449B">
      <w:pPr>
        <w:jc w:val="both"/>
        <w:rPr>
          <w:b/>
          <w:sz w:val="28"/>
          <w:szCs w:val="28"/>
          <w:lang w:val="sr-Latn-CS"/>
        </w:rPr>
      </w:pPr>
    </w:p>
    <w:p w:rsidR="00E5449B" w:rsidRPr="00D33A0B" w:rsidRDefault="00256BB0" w:rsidP="00E5449B">
      <w:pPr>
        <w:jc w:val="both"/>
        <w:rPr>
          <w:b/>
          <w:i/>
          <w:lang w:val="sr-Latn-CS"/>
        </w:rPr>
      </w:pPr>
      <w:r>
        <w:rPr>
          <w:b/>
          <w:i/>
          <w:lang w:val="sr-Latn-CS"/>
        </w:rPr>
        <w:t>INDEX (Januar – Avgust 2016</w:t>
      </w:r>
      <w:r w:rsidR="00E5449B" w:rsidRPr="00D33A0B">
        <w:rPr>
          <w:b/>
          <w:i/>
          <w:lang w:val="sr-Latn-CS"/>
        </w:rPr>
        <w:t>/1</w:t>
      </w:r>
      <w:r>
        <w:rPr>
          <w:b/>
          <w:i/>
          <w:lang w:val="sr-Latn-CS"/>
        </w:rPr>
        <w:t>5</w:t>
      </w:r>
      <w:r w:rsidR="00E5449B" w:rsidRPr="00D33A0B">
        <w:rPr>
          <w:b/>
          <w:i/>
          <w:lang w:val="sr-Latn-CS"/>
        </w:rPr>
        <w:t xml:space="preserve">): </w:t>
      </w:r>
      <w:r w:rsidR="00E5449B" w:rsidRPr="00D33A0B">
        <w:rPr>
          <w:i/>
          <w:lang w:val="sr-Latn-CS"/>
        </w:rPr>
        <w:t>Posjetioci: 1</w:t>
      </w:r>
      <w:r w:rsidR="003B64B5" w:rsidRPr="00D33A0B">
        <w:rPr>
          <w:i/>
          <w:lang w:val="sr-Latn-CS"/>
        </w:rPr>
        <w:t>08</w:t>
      </w:r>
      <w:r w:rsidR="00E5449B" w:rsidRPr="00D33A0B">
        <w:rPr>
          <w:i/>
          <w:lang w:val="sr-Latn-CS"/>
        </w:rPr>
        <w:t>,</w:t>
      </w:r>
      <w:r w:rsidR="003B64B5" w:rsidRPr="00D33A0B">
        <w:rPr>
          <w:i/>
          <w:lang w:val="sr-Latn-CS"/>
        </w:rPr>
        <w:t>67</w:t>
      </w:r>
      <w:r w:rsidR="00E5449B" w:rsidRPr="00D33A0B">
        <w:rPr>
          <w:b/>
          <w:i/>
          <w:lang w:val="sr-Latn-CS"/>
        </w:rPr>
        <w:t xml:space="preserve">, </w:t>
      </w:r>
      <w:r w:rsidR="003B64B5" w:rsidRPr="00D33A0B">
        <w:rPr>
          <w:i/>
          <w:lang w:val="sr-Latn-CS"/>
        </w:rPr>
        <w:t>Noćenja: 107</w:t>
      </w:r>
      <w:r w:rsidR="00E5449B" w:rsidRPr="00D33A0B">
        <w:rPr>
          <w:i/>
          <w:lang w:val="sr-Latn-CS"/>
        </w:rPr>
        <w:t>,</w:t>
      </w:r>
      <w:r w:rsidR="003B64B5" w:rsidRPr="00D33A0B">
        <w:rPr>
          <w:i/>
          <w:lang w:val="sr-Latn-CS"/>
        </w:rPr>
        <w:t>24</w:t>
      </w:r>
      <w:r w:rsidR="00E5449B" w:rsidRPr="00D33A0B">
        <w:rPr>
          <w:b/>
          <w:i/>
          <w:lang w:val="sr-Latn-CS"/>
        </w:rPr>
        <w:t>,</w:t>
      </w:r>
    </w:p>
    <w:p w:rsidR="00E5449B" w:rsidRPr="00D33A0B" w:rsidRDefault="00E5449B" w:rsidP="00E5449B">
      <w:pPr>
        <w:jc w:val="both"/>
        <w:rPr>
          <w:b/>
          <w:i/>
          <w:lang w:val="sr-Latn-CS"/>
        </w:rPr>
      </w:pPr>
      <w:r w:rsidRPr="00D33A0B">
        <w:rPr>
          <w:i/>
          <w:lang w:val="sr-Latn-CS"/>
        </w:rPr>
        <w:t>Prosječno zadržavanje (januar - avgust 201</w:t>
      </w:r>
      <w:r w:rsidR="007A08F2" w:rsidRPr="00D33A0B">
        <w:rPr>
          <w:i/>
          <w:lang w:val="sr-Latn-CS"/>
        </w:rPr>
        <w:t>6</w:t>
      </w:r>
      <w:r w:rsidRPr="00D33A0B">
        <w:rPr>
          <w:i/>
          <w:lang w:val="sr-Latn-CS"/>
        </w:rPr>
        <w:t>.):  10,</w:t>
      </w:r>
      <w:r w:rsidR="003B64B5" w:rsidRPr="00D33A0B">
        <w:rPr>
          <w:i/>
          <w:lang w:val="sr-Latn-CS"/>
        </w:rPr>
        <w:t>37</w:t>
      </w:r>
      <w:r w:rsidRPr="00D33A0B">
        <w:rPr>
          <w:i/>
          <w:lang w:val="sr-Latn-CS"/>
        </w:rPr>
        <w:t xml:space="preserve"> dana.</w:t>
      </w:r>
    </w:p>
    <w:p w:rsidR="00E5449B" w:rsidRPr="00D33A0B" w:rsidRDefault="00E5449B" w:rsidP="00E5449B">
      <w:pPr>
        <w:jc w:val="both"/>
        <w:rPr>
          <w:b/>
          <w:sz w:val="28"/>
          <w:szCs w:val="28"/>
          <w:lang w:val="sr-Latn-CS"/>
        </w:rPr>
      </w:pPr>
    </w:p>
    <w:p w:rsidR="00E5449B" w:rsidRPr="00D33A0B" w:rsidRDefault="007A08F2" w:rsidP="00E5449B">
      <w:pPr>
        <w:jc w:val="both"/>
        <w:rPr>
          <w:b/>
          <w:i/>
          <w:lang w:val="sr-Latn-CS"/>
        </w:rPr>
      </w:pPr>
      <w:r w:rsidRPr="00D33A0B">
        <w:rPr>
          <w:b/>
          <w:i/>
          <w:lang w:val="sr-Latn-CS"/>
        </w:rPr>
        <w:t>Jun - Avgust 2015/2016</w:t>
      </w:r>
    </w:p>
    <w:p w:rsidR="00E5449B" w:rsidRPr="00D33A0B" w:rsidRDefault="00E5449B" w:rsidP="00E5449B">
      <w:pPr>
        <w:jc w:val="both"/>
        <w:rPr>
          <w:b/>
          <w:sz w:val="28"/>
          <w:szCs w:val="28"/>
          <w:lang w:val="sr-Latn-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757"/>
        <w:gridCol w:w="1346"/>
        <w:gridCol w:w="1253"/>
        <w:gridCol w:w="1509"/>
        <w:gridCol w:w="1307"/>
        <w:gridCol w:w="1213"/>
        <w:gridCol w:w="1469"/>
      </w:tblGrid>
      <w:tr w:rsidR="00E5449B" w:rsidRPr="00D33A0B" w:rsidTr="007A08F2">
        <w:tc>
          <w:tcPr>
            <w:tcW w:w="1757" w:type="dxa"/>
            <w:shd w:val="solid" w:color="000080" w:fill="FFFFFF"/>
          </w:tcPr>
          <w:p w:rsidR="00E5449B" w:rsidRPr="00D33A0B" w:rsidRDefault="00E5449B" w:rsidP="004D1F76">
            <w:pPr>
              <w:jc w:val="both"/>
              <w:rPr>
                <w:b/>
                <w:bCs/>
                <w:lang w:val="sr-Latn-CS"/>
              </w:rPr>
            </w:pPr>
            <w:r w:rsidRPr="00D33A0B">
              <w:rPr>
                <w:b/>
                <w:bCs/>
                <w:lang w:val="sr-Latn-CS"/>
              </w:rPr>
              <w:t>201</w:t>
            </w:r>
            <w:r w:rsidR="007A08F2" w:rsidRPr="00D33A0B">
              <w:rPr>
                <w:b/>
                <w:bCs/>
                <w:lang w:val="sr-Latn-CS"/>
              </w:rPr>
              <w:t>5</w:t>
            </w:r>
          </w:p>
        </w:tc>
        <w:tc>
          <w:tcPr>
            <w:tcW w:w="4108" w:type="dxa"/>
            <w:gridSpan w:val="3"/>
            <w:shd w:val="solid" w:color="000080" w:fill="FFFFFF"/>
          </w:tcPr>
          <w:p w:rsidR="00E5449B" w:rsidRPr="00D33A0B" w:rsidRDefault="00E5449B" w:rsidP="004D1F76">
            <w:pPr>
              <w:jc w:val="center"/>
              <w:rPr>
                <w:b/>
                <w:bCs/>
                <w:lang w:val="sr-Latn-CS"/>
              </w:rPr>
            </w:pPr>
            <w:r w:rsidRPr="00D33A0B">
              <w:rPr>
                <w:b/>
                <w:bCs/>
                <w:lang w:val="sr-Latn-CS"/>
              </w:rPr>
              <w:t>POSJETIOCI</w:t>
            </w:r>
          </w:p>
        </w:tc>
        <w:tc>
          <w:tcPr>
            <w:tcW w:w="3989" w:type="dxa"/>
            <w:gridSpan w:val="3"/>
            <w:shd w:val="solid" w:color="000080" w:fill="FFFFFF"/>
          </w:tcPr>
          <w:p w:rsidR="00E5449B" w:rsidRPr="00D33A0B" w:rsidRDefault="00E5449B" w:rsidP="004D1F76">
            <w:pPr>
              <w:jc w:val="center"/>
              <w:rPr>
                <w:b/>
                <w:bCs/>
                <w:lang w:val="sr-Latn-CS"/>
              </w:rPr>
            </w:pPr>
            <w:r w:rsidRPr="00D33A0B">
              <w:rPr>
                <w:b/>
                <w:bCs/>
                <w:lang w:val="sr-Latn-CS"/>
              </w:rPr>
              <w:t>NOĆENJA</w:t>
            </w:r>
          </w:p>
        </w:tc>
      </w:tr>
      <w:tr w:rsidR="00E5449B" w:rsidRPr="00D33A0B" w:rsidTr="007A08F2">
        <w:tc>
          <w:tcPr>
            <w:tcW w:w="1757" w:type="dxa"/>
            <w:shd w:val="clear" w:color="auto" w:fill="auto"/>
          </w:tcPr>
          <w:p w:rsidR="00E5449B" w:rsidRPr="00D33A0B" w:rsidRDefault="00E5449B" w:rsidP="004D1F76">
            <w:pPr>
              <w:jc w:val="both"/>
              <w:rPr>
                <w:b/>
                <w:lang w:val="sr-Latn-CS"/>
              </w:rPr>
            </w:pPr>
          </w:p>
        </w:tc>
        <w:tc>
          <w:tcPr>
            <w:tcW w:w="1346" w:type="dxa"/>
            <w:shd w:val="clear" w:color="auto" w:fill="auto"/>
          </w:tcPr>
          <w:p w:rsidR="00E5449B" w:rsidRPr="00D33A0B" w:rsidRDefault="00E5449B" w:rsidP="004D1F76">
            <w:pPr>
              <w:jc w:val="center"/>
              <w:rPr>
                <w:b/>
                <w:lang w:val="sr-Latn-CS"/>
              </w:rPr>
            </w:pPr>
            <w:r w:rsidRPr="00D33A0B">
              <w:rPr>
                <w:b/>
                <w:lang w:val="sr-Latn-CS"/>
              </w:rPr>
              <w:t>Domaći</w:t>
            </w:r>
          </w:p>
        </w:tc>
        <w:tc>
          <w:tcPr>
            <w:tcW w:w="1253" w:type="dxa"/>
            <w:shd w:val="clear" w:color="auto" w:fill="auto"/>
          </w:tcPr>
          <w:p w:rsidR="00E5449B" w:rsidRPr="00D33A0B" w:rsidRDefault="00E5449B" w:rsidP="004D1F76">
            <w:pPr>
              <w:jc w:val="center"/>
              <w:rPr>
                <w:b/>
                <w:lang w:val="sr-Latn-CS"/>
              </w:rPr>
            </w:pPr>
            <w:r w:rsidRPr="00D33A0B">
              <w:rPr>
                <w:b/>
                <w:lang w:val="sr-Latn-CS"/>
              </w:rPr>
              <w:t>Strani</w:t>
            </w:r>
          </w:p>
        </w:tc>
        <w:tc>
          <w:tcPr>
            <w:tcW w:w="1509" w:type="dxa"/>
            <w:shd w:val="clear" w:color="auto" w:fill="auto"/>
          </w:tcPr>
          <w:p w:rsidR="00E5449B" w:rsidRPr="00D33A0B" w:rsidRDefault="00E5449B" w:rsidP="004D1F76">
            <w:pPr>
              <w:jc w:val="center"/>
              <w:rPr>
                <w:b/>
                <w:lang w:val="sr-Latn-CS"/>
              </w:rPr>
            </w:pPr>
            <w:r w:rsidRPr="00D33A0B">
              <w:rPr>
                <w:b/>
                <w:lang w:val="sr-Latn-CS"/>
              </w:rPr>
              <w:t>UKUPNO</w:t>
            </w:r>
          </w:p>
        </w:tc>
        <w:tc>
          <w:tcPr>
            <w:tcW w:w="1307" w:type="dxa"/>
            <w:shd w:val="clear" w:color="auto" w:fill="auto"/>
          </w:tcPr>
          <w:p w:rsidR="00E5449B" w:rsidRPr="00D33A0B" w:rsidRDefault="00E5449B" w:rsidP="004D1F76">
            <w:pPr>
              <w:jc w:val="center"/>
              <w:rPr>
                <w:b/>
                <w:lang w:val="sr-Latn-CS"/>
              </w:rPr>
            </w:pPr>
            <w:r w:rsidRPr="00D33A0B">
              <w:rPr>
                <w:b/>
                <w:lang w:val="sr-Latn-CS"/>
              </w:rPr>
              <w:t>Domaći</w:t>
            </w:r>
          </w:p>
        </w:tc>
        <w:tc>
          <w:tcPr>
            <w:tcW w:w="1213" w:type="dxa"/>
            <w:shd w:val="clear" w:color="auto" w:fill="auto"/>
          </w:tcPr>
          <w:p w:rsidR="00E5449B" w:rsidRPr="00D33A0B" w:rsidRDefault="00E5449B" w:rsidP="004D1F76">
            <w:pPr>
              <w:jc w:val="center"/>
              <w:rPr>
                <w:b/>
                <w:lang w:val="sr-Latn-CS"/>
              </w:rPr>
            </w:pPr>
            <w:r w:rsidRPr="00D33A0B">
              <w:rPr>
                <w:b/>
                <w:lang w:val="sr-Latn-CS"/>
              </w:rPr>
              <w:t>Strani</w:t>
            </w:r>
          </w:p>
        </w:tc>
        <w:tc>
          <w:tcPr>
            <w:tcW w:w="1469" w:type="dxa"/>
            <w:shd w:val="clear" w:color="auto" w:fill="auto"/>
          </w:tcPr>
          <w:p w:rsidR="00E5449B" w:rsidRPr="00D33A0B" w:rsidRDefault="00E5449B" w:rsidP="004D1F76">
            <w:pPr>
              <w:jc w:val="center"/>
              <w:rPr>
                <w:b/>
                <w:bCs/>
                <w:lang w:val="sr-Latn-CS"/>
              </w:rPr>
            </w:pPr>
            <w:r w:rsidRPr="00D33A0B">
              <w:rPr>
                <w:b/>
                <w:bCs/>
                <w:lang w:val="sr-Latn-CS"/>
              </w:rPr>
              <w:t>UKUPNO</w:t>
            </w:r>
          </w:p>
        </w:tc>
      </w:tr>
      <w:tr w:rsidR="007A08F2" w:rsidRPr="00D33A0B" w:rsidTr="007A08F2">
        <w:tc>
          <w:tcPr>
            <w:tcW w:w="1757" w:type="dxa"/>
            <w:shd w:val="clear" w:color="auto" w:fill="auto"/>
          </w:tcPr>
          <w:p w:rsidR="007A08F2" w:rsidRPr="00D33A0B" w:rsidRDefault="007A08F2" w:rsidP="004D1F76">
            <w:pPr>
              <w:jc w:val="both"/>
              <w:rPr>
                <w:b/>
                <w:bCs/>
                <w:lang w:val="sr-Latn-CS"/>
              </w:rPr>
            </w:pPr>
            <w:r w:rsidRPr="00D33A0B">
              <w:rPr>
                <w:b/>
                <w:bCs/>
                <w:lang w:val="sr-Latn-CS"/>
              </w:rPr>
              <w:t>UKUPNO:</w:t>
            </w:r>
          </w:p>
        </w:tc>
        <w:tc>
          <w:tcPr>
            <w:tcW w:w="1346" w:type="dxa"/>
            <w:shd w:val="clear" w:color="auto" w:fill="auto"/>
          </w:tcPr>
          <w:p w:rsidR="007A08F2" w:rsidRPr="00D33A0B" w:rsidRDefault="007A08F2" w:rsidP="003D3B12">
            <w:pPr>
              <w:jc w:val="center"/>
              <w:rPr>
                <w:b/>
                <w:bCs/>
                <w:lang w:val="sr-Latn-CS"/>
              </w:rPr>
            </w:pPr>
            <w:r w:rsidRPr="00D33A0B">
              <w:rPr>
                <w:b/>
                <w:bCs/>
                <w:lang w:val="sr-Latn-CS"/>
              </w:rPr>
              <w:t>1924</w:t>
            </w:r>
          </w:p>
        </w:tc>
        <w:tc>
          <w:tcPr>
            <w:tcW w:w="1253" w:type="dxa"/>
            <w:shd w:val="clear" w:color="auto" w:fill="auto"/>
          </w:tcPr>
          <w:p w:rsidR="007A08F2" w:rsidRPr="00D33A0B" w:rsidRDefault="007A08F2" w:rsidP="003D3B12">
            <w:pPr>
              <w:jc w:val="center"/>
              <w:rPr>
                <w:b/>
                <w:bCs/>
                <w:lang w:val="sr-Latn-CS"/>
              </w:rPr>
            </w:pPr>
            <w:r w:rsidRPr="00D33A0B">
              <w:rPr>
                <w:b/>
                <w:bCs/>
                <w:lang w:val="sr-Latn-CS"/>
              </w:rPr>
              <w:t>39114</w:t>
            </w:r>
          </w:p>
        </w:tc>
        <w:tc>
          <w:tcPr>
            <w:tcW w:w="1509" w:type="dxa"/>
            <w:shd w:val="clear" w:color="auto" w:fill="000080"/>
          </w:tcPr>
          <w:p w:rsidR="007A08F2" w:rsidRPr="00D33A0B" w:rsidRDefault="007A08F2" w:rsidP="003D3B12">
            <w:pPr>
              <w:jc w:val="center"/>
              <w:rPr>
                <w:b/>
                <w:bCs/>
                <w:lang w:val="sr-Latn-CS"/>
              </w:rPr>
            </w:pPr>
            <w:r w:rsidRPr="00D33A0B">
              <w:rPr>
                <w:b/>
                <w:bCs/>
                <w:lang w:val="sr-Latn-CS"/>
              </w:rPr>
              <w:t>41038</w:t>
            </w:r>
          </w:p>
        </w:tc>
        <w:tc>
          <w:tcPr>
            <w:tcW w:w="1307" w:type="dxa"/>
            <w:shd w:val="clear" w:color="auto" w:fill="auto"/>
          </w:tcPr>
          <w:p w:rsidR="007A08F2" w:rsidRPr="00D33A0B" w:rsidRDefault="007A08F2" w:rsidP="003D3B12">
            <w:pPr>
              <w:jc w:val="center"/>
              <w:rPr>
                <w:b/>
                <w:bCs/>
                <w:lang w:val="sr-Latn-CS"/>
              </w:rPr>
            </w:pPr>
            <w:r w:rsidRPr="00D33A0B">
              <w:rPr>
                <w:b/>
                <w:bCs/>
                <w:lang w:val="sr-Latn-CS"/>
              </w:rPr>
              <w:t>11546</w:t>
            </w:r>
          </w:p>
        </w:tc>
        <w:tc>
          <w:tcPr>
            <w:tcW w:w="1213" w:type="dxa"/>
            <w:shd w:val="clear" w:color="auto" w:fill="auto"/>
          </w:tcPr>
          <w:p w:rsidR="007A08F2" w:rsidRPr="00D33A0B" w:rsidRDefault="007A08F2" w:rsidP="003D3B12">
            <w:pPr>
              <w:jc w:val="center"/>
              <w:rPr>
                <w:b/>
                <w:bCs/>
                <w:lang w:val="sr-Latn-CS"/>
              </w:rPr>
            </w:pPr>
            <w:r w:rsidRPr="00D33A0B">
              <w:rPr>
                <w:b/>
                <w:bCs/>
                <w:lang w:val="sr-Latn-CS"/>
              </w:rPr>
              <w:t>461922</w:t>
            </w:r>
          </w:p>
        </w:tc>
        <w:tc>
          <w:tcPr>
            <w:tcW w:w="1469" w:type="dxa"/>
            <w:shd w:val="clear" w:color="auto" w:fill="000080"/>
          </w:tcPr>
          <w:p w:rsidR="007A08F2" w:rsidRPr="00D33A0B" w:rsidRDefault="007A08F2" w:rsidP="003D3B12">
            <w:pPr>
              <w:jc w:val="center"/>
              <w:rPr>
                <w:b/>
                <w:bCs/>
                <w:lang w:val="sr-Latn-CS"/>
              </w:rPr>
            </w:pPr>
            <w:r w:rsidRPr="00D33A0B">
              <w:rPr>
                <w:b/>
                <w:bCs/>
                <w:lang w:val="sr-Latn-CS"/>
              </w:rPr>
              <w:t>473468</w:t>
            </w:r>
          </w:p>
        </w:tc>
      </w:tr>
    </w:tbl>
    <w:p w:rsidR="00E5449B" w:rsidRPr="00D33A0B" w:rsidRDefault="00E5449B" w:rsidP="00E5449B">
      <w:pPr>
        <w:jc w:val="both"/>
        <w:rPr>
          <w:b/>
          <w:lang w:val="sr-Latn-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1747"/>
        <w:gridCol w:w="1339"/>
        <w:gridCol w:w="1244"/>
        <w:gridCol w:w="1503"/>
        <w:gridCol w:w="1300"/>
        <w:gridCol w:w="1257"/>
        <w:gridCol w:w="1464"/>
      </w:tblGrid>
      <w:tr w:rsidR="00E5449B" w:rsidRPr="00D33A0B" w:rsidTr="004D1F76">
        <w:tc>
          <w:tcPr>
            <w:tcW w:w="2508" w:type="dxa"/>
            <w:shd w:val="solid" w:color="000080" w:fill="FFFFFF"/>
          </w:tcPr>
          <w:p w:rsidR="00E5449B" w:rsidRPr="00D33A0B" w:rsidRDefault="00E5449B" w:rsidP="004D1F76">
            <w:pPr>
              <w:jc w:val="both"/>
              <w:rPr>
                <w:b/>
                <w:bCs/>
                <w:lang w:val="sr-Latn-CS"/>
              </w:rPr>
            </w:pPr>
            <w:r w:rsidRPr="00D33A0B">
              <w:rPr>
                <w:b/>
                <w:bCs/>
                <w:lang w:val="sr-Latn-CS"/>
              </w:rPr>
              <w:t>201</w:t>
            </w:r>
            <w:r w:rsidR="007A08F2" w:rsidRPr="00D33A0B">
              <w:rPr>
                <w:b/>
                <w:bCs/>
                <w:lang w:val="sr-Latn-CS"/>
              </w:rPr>
              <w:t>6</w:t>
            </w:r>
          </w:p>
        </w:tc>
        <w:tc>
          <w:tcPr>
            <w:tcW w:w="5880" w:type="dxa"/>
            <w:gridSpan w:val="3"/>
            <w:shd w:val="solid" w:color="000080" w:fill="FFFFFF"/>
          </w:tcPr>
          <w:p w:rsidR="00E5449B" w:rsidRPr="00D33A0B" w:rsidRDefault="00E5449B" w:rsidP="004D1F76">
            <w:pPr>
              <w:jc w:val="center"/>
              <w:rPr>
                <w:b/>
                <w:bCs/>
                <w:lang w:val="sr-Latn-CS"/>
              </w:rPr>
            </w:pPr>
            <w:r w:rsidRPr="00D33A0B">
              <w:rPr>
                <w:b/>
                <w:bCs/>
                <w:lang w:val="sr-Latn-CS"/>
              </w:rPr>
              <w:t>POSJETIOCI</w:t>
            </w:r>
          </w:p>
        </w:tc>
        <w:tc>
          <w:tcPr>
            <w:tcW w:w="5549" w:type="dxa"/>
            <w:gridSpan w:val="3"/>
            <w:shd w:val="solid" w:color="000080" w:fill="FFFFFF"/>
          </w:tcPr>
          <w:p w:rsidR="00E5449B" w:rsidRPr="00D33A0B" w:rsidRDefault="00E5449B" w:rsidP="004D1F76">
            <w:pPr>
              <w:jc w:val="center"/>
              <w:rPr>
                <w:b/>
                <w:bCs/>
                <w:lang w:val="sr-Latn-CS"/>
              </w:rPr>
            </w:pPr>
            <w:r w:rsidRPr="00D33A0B">
              <w:rPr>
                <w:b/>
                <w:bCs/>
                <w:lang w:val="sr-Latn-CS"/>
              </w:rPr>
              <w:t>NOĆENJA</w:t>
            </w:r>
          </w:p>
        </w:tc>
      </w:tr>
      <w:tr w:rsidR="00E5449B" w:rsidRPr="00D33A0B" w:rsidTr="004D1F76">
        <w:tc>
          <w:tcPr>
            <w:tcW w:w="2508" w:type="dxa"/>
            <w:shd w:val="clear" w:color="auto" w:fill="auto"/>
          </w:tcPr>
          <w:p w:rsidR="00E5449B" w:rsidRPr="00D33A0B" w:rsidRDefault="00E5449B" w:rsidP="004D1F76">
            <w:pPr>
              <w:jc w:val="both"/>
              <w:rPr>
                <w:b/>
                <w:lang w:val="sr-Latn-CS"/>
              </w:rPr>
            </w:pPr>
          </w:p>
        </w:tc>
        <w:tc>
          <w:tcPr>
            <w:tcW w:w="1960" w:type="dxa"/>
            <w:shd w:val="clear" w:color="auto" w:fill="auto"/>
          </w:tcPr>
          <w:p w:rsidR="00E5449B" w:rsidRPr="00D33A0B" w:rsidRDefault="00E5449B" w:rsidP="004D1F76">
            <w:pPr>
              <w:jc w:val="center"/>
              <w:rPr>
                <w:b/>
                <w:lang w:val="sr-Latn-CS"/>
              </w:rPr>
            </w:pPr>
            <w:r w:rsidRPr="00D33A0B">
              <w:rPr>
                <w:b/>
                <w:lang w:val="sr-Latn-CS"/>
              </w:rPr>
              <w:t>Domaći</w:t>
            </w:r>
          </w:p>
        </w:tc>
        <w:tc>
          <w:tcPr>
            <w:tcW w:w="1960" w:type="dxa"/>
            <w:shd w:val="clear" w:color="auto" w:fill="auto"/>
          </w:tcPr>
          <w:p w:rsidR="00E5449B" w:rsidRPr="00D33A0B" w:rsidRDefault="00E5449B" w:rsidP="004D1F76">
            <w:pPr>
              <w:jc w:val="center"/>
              <w:rPr>
                <w:b/>
                <w:lang w:val="sr-Latn-CS"/>
              </w:rPr>
            </w:pPr>
            <w:r w:rsidRPr="00D33A0B">
              <w:rPr>
                <w:b/>
                <w:lang w:val="sr-Latn-CS"/>
              </w:rPr>
              <w:t>Strani</w:t>
            </w:r>
          </w:p>
        </w:tc>
        <w:tc>
          <w:tcPr>
            <w:tcW w:w="1960" w:type="dxa"/>
            <w:shd w:val="clear" w:color="auto" w:fill="auto"/>
          </w:tcPr>
          <w:p w:rsidR="00E5449B" w:rsidRPr="00D33A0B" w:rsidRDefault="00E5449B" w:rsidP="004D1F76">
            <w:pPr>
              <w:jc w:val="center"/>
              <w:rPr>
                <w:b/>
                <w:lang w:val="sr-Latn-CS"/>
              </w:rPr>
            </w:pPr>
            <w:r w:rsidRPr="00D33A0B">
              <w:rPr>
                <w:b/>
                <w:lang w:val="sr-Latn-CS"/>
              </w:rPr>
              <w:t>UKUPNO</w:t>
            </w:r>
          </w:p>
        </w:tc>
        <w:tc>
          <w:tcPr>
            <w:tcW w:w="1849" w:type="dxa"/>
            <w:shd w:val="clear" w:color="auto" w:fill="auto"/>
          </w:tcPr>
          <w:p w:rsidR="00E5449B" w:rsidRPr="00D33A0B" w:rsidRDefault="00E5449B" w:rsidP="004D1F76">
            <w:pPr>
              <w:jc w:val="center"/>
              <w:rPr>
                <w:b/>
                <w:lang w:val="sr-Latn-CS"/>
              </w:rPr>
            </w:pPr>
            <w:r w:rsidRPr="00D33A0B">
              <w:rPr>
                <w:b/>
                <w:lang w:val="sr-Latn-CS"/>
              </w:rPr>
              <w:t>Domaći</w:t>
            </w:r>
          </w:p>
        </w:tc>
        <w:tc>
          <w:tcPr>
            <w:tcW w:w="1850" w:type="dxa"/>
            <w:shd w:val="clear" w:color="auto" w:fill="auto"/>
          </w:tcPr>
          <w:p w:rsidR="00E5449B" w:rsidRPr="00D33A0B" w:rsidRDefault="00E5449B" w:rsidP="004D1F76">
            <w:pPr>
              <w:jc w:val="center"/>
              <w:rPr>
                <w:b/>
                <w:lang w:val="sr-Latn-CS"/>
              </w:rPr>
            </w:pPr>
            <w:r w:rsidRPr="00D33A0B">
              <w:rPr>
                <w:b/>
                <w:lang w:val="sr-Latn-CS"/>
              </w:rPr>
              <w:t>Strani</w:t>
            </w:r>
          </w:p>
        </w:tc>
        <w:tc>
          <w:tcPr>
            <w:tcW w:w="1850" w:type="dxa"/>
            <w:shd w:val="clear" w:color="auto" w:fill="auto"/>
          </w:tcPr>
          <w:p w:rsidR="00E5449B" w:rsidRPr="00D33A0B" w:rsidRDefault="00E5449B" w:rsidP="004D1F76">
            <w:pPr>
              <w:jc w:val="center"/>
              <w:rPr>
                <w:b/>
                <w:bCs/>
                <w:lang w:val="sr-Latn-CS"/>
              </w:rPr>
            </w:pPr>
            <w:r w:rsidRPr="00D33A0B">
              <w:rPr>
                <w:b/>
                <w:bCs/>
                <w:lang w:val="sr-Latn-CS"/>
              </w:rPr>
              <w:t>UKUPNO</w:t>
            </w:r>
          </w:p>
        </w:tc>
      </w:tr>
      <w:tr w:rsidR="00E5449B" w:rsidRPr="00D33A0B" w:rsidTr="004D1F76">
        <w:tc>
          <w:tcPr>
            <w:tcW w:w="2508" w:type="dxa"/>
            <w:shd w:val="clear" w:color="auto" w:fill="auto"/>
          </w:tcPr>
          <w:p w:rsidR="00E5449B" w:rsidRPr="00D33A0B" w:rsidRDefault="00E5449B" w:rsidP="004D1F76">
            <w:pPr>
              <w:jc w:val="both"/>
              <w:rPr>
                <w:b/>
                <w:bCs/>
                <w:lang w:val="sr-Latn-CS"/>
              </w:rPr>
            </w:pPr>
            <w:r w:rsidRPr="00D33A0B">
              <w:rPr>
                <w:b/>
                <w:bCs/>
                <w:lang w:val="sr-Latn-CS"/>
              </w:rPr>
              <w:t>UKUPNO:</w:t>
            </w:r>
          </w:p>
        </w:tc>
        <w:tc>
          <w:tcPr>
            <w:tcW w:w="1960" w:type="dxa"/>
            <w:shd w:val="clear" w:color="auto" w:fill="auto"/>
          </w:tcPr>
          <w:p w:rsidR="00E5449B" w:rsidRPr="00D33A0B" w:rsidRDefault="002708E9" w:rsidP="004D1F76">
            <w:pPr>
              <w:jc w:val="center"/>
              <w:rPr>
                <w:b/>
                <w:bCs/>
                <w:lang w:val="sr-Latn-CS"/>
              </w:rPr>
            </w:pPr>
            <w:r w:rsidRPr="00D33A0B">
              <w:rPr>
                <w:b/>
                <w:bCs/>
                <w:lang w:val="sr-Latn-CS"/>
              </w:rPr>
              <w:t>1877</w:t>
            </w:r>
          </w:p>
        </w:tc>
        <w:tc>
          <w:tcPr>
            <w:tcW w:w="1960" w:type="dxa"/>
            <w:shd w:val="clear" w:color="auto" w:fill="auto"/>
          </w:tcPr>
          <w:p w:rsidR="00E5449B" w:rsidRPr="00D33A0B" w:rsidRDefault="002708E9" w:rsidP="004D1F76">
            <w:pPr>
              <w:jc w:val="center"/>
              <w:rPr>
                <w:b/>
                <w:bCs/>
                <w:lang w:val="sr-Latn-CS"/>
              </w:rPr>
            </w:pPr>
            <w:r w:rsidRPr="00D33A0B">
              <w:rPr>
                <w:b/>
                <w:bCs/>
                <w:lang w:val="sr-Latn-CS"/>
              </w:rPr>
              <w:t>44011</w:t>
            </w:r>
          </w:p>
        </w:tc>
        <w:tc>
          <w:tcPr>
            <w:tcW w:w="1960" w:type="dxa"/>
            <w:shd w:val="clear" w:color="auto" w:fill="000080"/>
          </w:tcPr>
          <w:p w:rsidR="00E5449B" w:rsidRPr="00D33A0B" w:rsidRDefault="002708E9" w:rsidP="004D1F76">
            <w:pPr>
              <w:jc w:val="center"/>
              <w:rPr>
                <w:b/>
                <w:bCs/>
                <w:lang w:val="sr-Latn-CS"/>
              </w:rPr>
            </w:pPr>
            <w:r w:rsidRPr="00D33A0B">
              <w:rPr>
                <w:b/>
                <w:bCs/>
                <w:lang w:val="sr-Latn-CS"/>
              </w:rPr>
              <w:t>45888</w:t>
            </w:r>
          </w:p>
        </w:tc>
        <w:tc>
          <w:tcPr>
            <w:tcW w:w="1849" w:type="dxa"/>
            <w:shd w:val="clear" w:color="auto" w:fill="auto"/>
          </w:tcPr>
          <w:p w:rsidR="00E5449B" w:rsidRPr="00D33A0B" w:rsidRDefault="002708E9" w:rsidP="004D1F76">
            <w:pPr>
              <w:jc w:val="center"/>
              <w:rPr>
                <w:b/>
                <w:bCs/>
                <w:lang w:val="sr-Latn-CS"/>
              </w:rPr>
            </w:pPr>
            <w:r w:rsidRPr="00D33A0B">
              <w:rPr>
                <w:b/>
                <w:bCs/>
                <w:lang w:val="sr-Latn-CS"/>
              </w:rPr>
              <w:t>12027</w:t>
            </w:r>
          </w:p>
        </w:tc>
        <w:tc>
          <w:tcPr>
            <w:tcW w:w="1850" w:type="dxa"/>
            <w:shd w:val="clear" w:color="auto" w:fill="auto"/>
          </w:tcPr>
          <w:p w:rsidR="00E5449B" w:rsidRPr="00D33A0B" w:rsidRDefault="002708E9" w:rsidP="004D1F76">
            <w:pPr>
              <w:jc w:val="center"/>
              <w:rPr>
                <w:b/>
                <w:bCs/>
                <w:lang w:val="sr-Latn-CS"/>
              </w:rPr>
            </w:pPr>
            <w:r w:rsidRPr="00D33A0B">
              <w:rPr>
                <w:b/>
                <w:bCs/>
                <w:lang w:val="sr-Latn-CS"/>
              </w:rPr>
              <w:t>490493</w:t>
            </w:r>
          </w:p>
        </w:tc>
        <w:tc>
          <w:tcPr>
            <w:tcW w:w="1850" w:type="dxa"/>
            <w:shd w:val="clear" w:color="auto" w:fill="000080"/>
          </w:tcPr>
          <w:p w:rsidR="00E5449B" w:rsidRPr="00D33A0B" w:rsidRDefault="002708E9" w:rsidP="004D1F76">
            <w:pPr>
              <w:jc w:val="center"/>
              <w:rPr>
                <w:b/>
                <w:bCs/>
                <w:lang w:val="sr-Latn-CS"/>
              </w:rPr>
            </w:pPr>
            <w:r w:rsidRPr="00D33A0B">
              <w:rPr>
                <w:b/>
                <w:bCs/>
                <w:lang w:val="sr-Latn-CS"/>
              </w:rPr>
              <w:t>502520</w:t>
            </w:r>
          </w:p>
        </w:tc>
      </w:tr>
    </w:tbl>
    <w:p w:rsidR="00E5449B" w:rsidRPr="00D33A0B" w:rsidRDefault="00E5449B" w:rsidP="00E5449B">
      <w:pPr>
        <w:jc w:val="both"/>
        <w:rPr>
          <w:b/>
          <w:sz w:val="28"/>
          <w:szCs w:val="28"/>
          <w:lang w:val="sr-Latn-CS"/>
        </w:rPr>
      </w:pPr>
    </w:p>
    <w:p w:rsidR="00E5449B" w:rsidRPr="00D33A0B" w:rsidRDefault="007A08F2" w:rsidP="00E5449B">
      <w:pPr>
        <w:jc w:val="both"/>
        <w:rPr>
          <w:b/>
          <w:i/>
          <w:lang w:val="sr-Latn-CS"/>
        </w:rPr>
      </w:pPr>
      <w:r w:rsidRPr="00D33A0B">
        <w:rPr>
          <w:b/>
          <w:i/>
          <w:lang w:val="sr-Latn-CS"/>
        </w:rPr>
        <w:t>INDEX (Jun – Avgust 201</w:t>
      </w:r>
      <w:r w:rsidR="00256BB0">
        <w:rPr>
          <w:b/>
          <w:i/>
          <w:lang w:val="sr-Latn-CS"/>
        </w:rPr>
        <w:t>6</w:t>
      </w:r>
      <w:r w:rsidR="00E5449B" w:rsidRPr="00D33A0B">
        <w:rPr>
          <w:b/>
          <w:i/>
          <w:lang w:val="sr-Latn-CS"/>
        </w:rPr>
        <w:t>/1</w:t>
      </w:r>
      <w:r w:rsidR="00256BB0">
        <w:rPr>
          <w:b/>
          <w:i/>
          <w:lang w:val="sr-Latn-CS"/>
        </w:rPr>
        <w:t>5</w:t>
      </w:r>
      <w:r w:rsidR="00E5449B" w:rsidRPr="00D33A0B">
        <w:rPr>
          <w:b/>
          <w:i/>
          <w:lang w:val="sr-Latn-CS"/>
        </w:rPr>
        <w:t xml:space="preserve">): </w:t>
      </w:r>
      <w:r w:rsidR="00E5449B" w:rsidRPr="00D33A0B">
        <w:rPr>
          <w:i/>
          <w:lang w:val="sr-Latn-CS"/>
        </w:rPr>
        <w:t>Posjetioci: 1</w:t>
      </w:r>
      <w:r w:rsidR="00003625" w:rsidRPr="00D33A0B">
        <w:rPr>
          <w:i/>
          <w:lang w:val="sr-Latn-CS"/>
        </w:rPr>
        <w:t>11,82</w:t>
      </w:r>
      <w:r w:rsidR="00E5449B" w:rsidRPr="00D33A0B">
        <w:rPr>
          <w:b/>
          <w:i/>
          <w:lang w:val="sr-Latn-CS"/>
        </w:rPr>
        <w:t xml:space="preserve">, </w:t>
      </w:r>
      <w:r w:rsidR="00003625" w:rsidRPr="00D33A0B">
        <w:rPr>
          <w:i/>
          <w:lang w:val="sr-Latn-CS"/>
        </w:rPr>
        <w:t>Noćenja: 106</w:t>
      </w:r>
      <w:r w:rsidR="00E5449B" w:rsidRPr="00D33A0B">
        <w:rPr>
          <w:i/>
          <w:lang w:val="sr-Latn-CS"/>
        </w:rPr>
        <w:t>,</w:t>
      </w:r>
      <w:r w:rsidR="00003625" w:rsidRPr="00D33A0B">
        <w:rPr>
          <w:i/>
          <w:lang w:val="sr-Latn-CS"/>
        </w:rPr>
        <w:t>14</w:t>
      </w:r>
      <w:r w:rsidR="00E5449B" w:rsidRPr="00D33A0B">
        <w:rPr>
          <w:b/>
          <w:i/>
          <w:lang w:val="sr-Latn-CS"/>
        </w:rPr>
        <w:t xml:space="preserve">, </w:t>
      </w:r>
    </w:p>
    <w:p w:rsidR="00E5449B" w:rsidRPr="00D33A0B" w:rsidRDefault="00E5449B" w:rsidP="00E5449B">
      <w:pPr>
        <w:jc w:val="both"/>
        <w:rPr>
          <w:b/>
          <w:i/>
          <w:lang w:val="sr-Latn-CS"/>
        </w:rPr>
      </w:pPr>
      <w:r w:rsidRPr="00D33A0B">
        <w:rPr>
          <w:i/>
          <w:lang w:val="sr-Latn-CS"/>
        </w:rPr>
        <w:t>Prosječno zadržavanje (jun – avgust 201</w:t>
      </w:r>
      <w:r w:rsidR="007A08F2" w:rsidRPr="00D33A0B">
        <w:rPr>
          <w:i/>
          <w:lang w:val="sr-Latn-CS"/>
        </w:rPr>
        <w:t>6</w:t>
      </w:r>
      <w:r w:rsidR="00003625" w:rsidRPr="00D33A0B">
        <w:rPr>
          <w:i/>
          <w:lang w:val="sr-Latn-CS"/>
        </w:rPr>
        <w:t>.): 10</w:t>
      </w:r>
      <w:r w:rsidRPr="00D33A0B">
        <w:rPr>
          <w:i/>
          <w:lang w:val="sr-Latn-CS"/>
        </w:rPr>
        <w:t>,</w:t>
      </w:r>
      <w:r w:rsidR="00003625" w:rsidRPr="00D33A0B">
        <w:rPr>
          <w:i/>
          <w:lang w:val="sr-Latn-CS"/>
        </w:rPr>
        <w:t>95</w:t>
      </w:r>
      <w:r w:rsidRPr="00D33A0B">
        <w:rPr>
          <w:i/>
          <w:lang w:val="sr-Latn-CS"/>
        </w:rPr>
        <w:t xml:space="preserve"> dana.</w:t>
      </w:r>
    </w:p>
    <w:p w:rsidR="00E5449B" w:rsidRPr="00D33A0B" w:rsidRDefault="00E5449B" w:rsidP="00E5449B">
      <w:pPr>
        <w:jc w:val="both"/>
        <w:rPr>
          <w:i/>
          <w:lang w:val="sr-Latn-CS"/>
        </w:rPr>
      </w:pPr>
    </w:p>
    <w:p w:rsidR="00E5449B" w:rsidRPr="00D33A0B" w:rsidRDefault="00E5449B" w:rsidP="00E5449B">
      <w:pPr>
        <w:jc w:val="both"/>
        <w:rPr>
          <w:lang w:val="sr-Latn-CS"/>
        </w:rPr>
      </w:pPr>
      <w:r w:rsidRPr="00D33A0B">
        <w:rPr>
          <w:lang w:val="sr-Latn-CS"/>
        </w:rPr>
        <w:t>Po zemlji pripadnosti gostiju koji su posjetili Tivat, za 8 mjeseci 201</w:t>
      </w:r>
      <w:r w:rsidR="00003625" w:rsidRPr="00D33A0B">
        <w:rPr>
          <w:lang w:val="sr-Latn-CS"/>
        </w:rPr>
        <w:t>6</w:t>
      </w:r>
      <w:r w:rsidRPr="00D33A0B">
        <w:rPr>
          <w:lang w:val="sr-Latn-CS"/>
        </w:rPr>
        <w:t xml:space="preserve">. godine (januar – avgust), najviše noćenja su ostvarili turisti iz Srbije, zatim slijede gosti iz Rusije, Bosne i Hercegovine, </w:t>
      </w:r>
      <w:r w:rsidR="00E66B2A" w:rsidRPr="00D33A0B">
        <w:rPr>
          <w:lang w:val="sr-Latn-CS"/>
        </w:rPr>
        <w:t>Velike Britanije, Mađarske, Njemačke...</w:t>
      </w:r>
      <w:r w:rsidRPr="00D33A0B">
        <w:rPr>
          <w:lang w:val="sr-Latn-CS"/>
        </w:rPr>
        <w:t xml:space="preserve"> </w:t>
      </w:r>
    </w:p>
    <w:p w:rsidR="00E5449B" w:rsidRPr="00D33A0B" w:rsidRDefault="00E5449B" w:rsidP="00E5449B">
      <w:pPr>
        <w:pStyle w:val="BodyText"/>
        <w:jc w:val="left"/>
        <w:rPr>
          <w:b/>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lang w:val="hr-HR"/>
        </w:rPr>
      </w:pPr>
    </w:p>
    <w:p w:rsidR="00E5449B" w:rsidRPr="00D33A0B" w:rsidRDefault="00E5449B" w:rsidP="00E5449B">
      <w:pPr>
        <w:pStyle w:val="BodyText"/>
        <w:jc w:val="left"/>
        <w:rPr>
          <w:b/>
          <w:bCs/>
          <w:i/>
        </w:rPr>
      </w:pPr>
    </w:p>
    <w:p w:rsidR="00E5449B" w:rsidRPr="00D33A0B" w:rsidRDefault="00E5449B" w:rsidP="00E5449B">
      <w:pPr>
        <w:numPr>
          <w:ilvl w:val="0"/>
          <w:numId w:val="7"/>
        </w:numPr>
        <w:rPr>
          <w:b/>
          <w:sz w:val="28"/>
          <w:szCs w:val="28"/>
          <w:lang w:val="hr-HR"/>
        </w:rPr>
      </w:pPr>
      <w:r w:rsidRPr="00D33A0B">
        <w:rPr>
          <w:b/>
          <w:bCs/>
          <w:i/>
          <w:sz w:val="28"/>
          <w:szCs w:val="28"/>
          <w:lang w:val="sr-Latn-CS"/>
        </w:rPr>
        <w:lastRenderedPageBreak/>
        <w:t>IZVOD IZ REZULTATA ANKETE TURISTA 2015. ZA OPŠTINU TIVAT</w:t>
      </w:r>
    </w:p>
    <w:p w:rsidR="00E5449B" w:rsidRPr="00D33A0B" w:rsidRDefault="00E5449B" w:rsidP="00E5449B">
      <w:pPr>
        <w:ind w:left="720"/>
        <w:rPr>
          <w:b/>
          <w:sz w:val="28"/>
          <w:szCs w:val="28"/>
          <w:lang w:val="hr-HR"/>
        </w:rPr>
      </w:pPr>
    </w:p>
    <w:p w:rsidR="00E5449B" w:rsidRPr="00D33A0B" w:rsidRDefault="00E5449B" w:rsidP="00E5449B">
      <w:pPr>
        <w:jc w:val="center"/>
      </w:pPr>
      <w:r w:rsidRPr="00D33A0B">
        <w:rPr>
          <w:lang w:val="sr-Latn-CS"/>
        </w:rPr>
        <w:t>ZADOVOLJSTVO / NEZADOVOLJSTVO TURISTA RAZLIČITIM ELE</w:t>
      </w:r>
      <w:r w:rsidRPr="00D33A0B">
        <w:t>MENTIMA TURISTIČKE PONUDE TIVTA</w:t>
      </w:r>
    </w:p>
    <w:p w:rsidR="00E5449B" w:rsidRPr="00D33A0B" w:rsidRDefault="00E5449B" w:rsidP="00E5449B">
      <w:pPr>
        <w:jc w:val="center"/>
      </w:pPr>
      <w:r w:rsidRPr="00D33A0B">
        <w:rPr>
          <w:bCs/>
        </w:rPr>
        <w:t>-TABELA PROSJEČNIH OCJENA NA PITANJA O KVALITETU-</w:t>
      </w:r>
    </w:p>
    <w:p w:rsidR="00E5449B" w:rsidRPr="00D33A0B" w:rsidRDefault="00E5449B" w:rsidP="00E5449B">
      <w:pPr>
        <w:jc w:val="center"/>
      </w:pPr>
      <w:r w:rsidRPr="00D33A0B">
        <w:t>Koliko ste zadovoljni sledećim elementima turističke ponude u Tivtu?</w:t>
      </w:r>
    </w:p>
    <w:p w:rsidR="00E5449B" w:rsidRPr="00D33A0B" w:rsidRDefault="00E5449B" w:rsidP="00E5449B">
      <w:pPr>
        <w:jc w:val="center"/>
      </w:pPr>
      <w:r w:rsidRPr="00D33A0B">
        <w:t>(veoma zadovoljan-5, zadovoljan-4, osrednje-3, nezadovoljan-2, veoma nezadovoljan-1)</w:t>
      </w:r>
    </w:p>
    <w:p w:rsidR="00E5449B" w:rsidRPr="00D33A0B" w:rsidRDefault="00E5449B" w:rsidP="00E5449B">
      <w:pPr>
        <w:jc w:val="both"/>
        <w:rPr>
          <w:sz w:val="28"/>
          <w:szCs w:val="28"/>
        </w:rPr>
      </w:pPr>
    </w:p>
    <w:tbl>
      <w:tblPr>
        <w:tblStyle w:val="TableGrid8"/>
        <w:tblW w:w="9883" w:type="dxa"/>
        <w:tblLayout w:type="fixed"/>
        <w:tblLook w:val="01E0"/>
      </w:tblPr>
      <w:tblGrid>
        <w:gridCol w:w="528"/>
        <w:gridCol w:w="803"/>
        <w:gridCol w:w="803"/>
        <w:gridCol w:w="803"/>
        <w:gridCol w:w="756"/>
        <w:gridCol w:w="756"/>
        <w:gridCol w:w="756"/>
        <w:gridCol w:w="756"/>
        <w:gridCol w:w="756"/>
        <w:gridCol w:w="756"/>
        <w:gridCol w:w="803"/>
        <w:gridCol w:w="803"/>
        <w:gridCol w:w="804"/>
      </w:tblGrid>
      <w:tr w:rsidR="00FF46A6" w:rsidRPr="00D33A0B" w:rsidTr="003D326F">
        <w:trPr>
          <w:cnfStyle w:val="100000000000"/>
        </w:trPr>
        <w:tc>
          <w:tcPr>
            <w:tcW w:w="528" w:type="dxa"/>
          </w:tcPr>
          <w:p w:rsidR="00FF46A6" w:rsidRPr="00D33A0B" w:rsidRDefault="00FF46A6" w:rsidP="003D326F">
            <w:pPr>
              <w:pStyle w:val="BodyText"/>
              <w:rPr>
                <w:color w:val="auto"/>
                <w:sz w:val="22"/>
                <w:szCs w:val="22"/>
              </w:rPr>
            </w:pPr>
          </w:p>
        </w:tc>
        <w:tc>
          <w:tcPr>
            <w:tcW w:w="2409" w:type="dxa"/>
            <w:gridSpan w:val="3"/>
          </w:tcPr>
          <w:p w:rsidR="00FF46A6" w:rsidRPr="00D33A0B" w:rsidRDefault="00FF46A6" w:rsidP="003D326F">
            <w:pPr>
              <w:pStyle w:val="BodyText"/>
              <w:jc w:val="center"/>
              <w:rPr>
                <w:bCs w:val="0"/>
                <w:color w:val="auto"/>
                <w:sz w:val="22"/>
                <w:szCs w:val="22"/>
              </w:rPr>
            </w:pPr>
            <w:r w:rsidRPr="00D33A0B">
              <w:rPr>
                <w:bCs w:val="0"/>
                <w:color w:val="auto"/>
                <w:sz w:val="22"/>
                <w:szCs w:val="22"/>
              </w:rPr>
              <w:t>SVI</w:t>
            </w:r>
          </w:p>
        </w:tc>
        <w:tc>
          <w:tcPr>
            <w:tcW w:w="2268" w:type="dxa"/>
            <w:gridSpan w:val="3"/>
          </w:tcPr>
          <w:p w:rsidR="00FF46A6" w:rsidRPr="00D33A0B" w:rsidRDefault="00FF46A6" w:rsidP="003D326F">
            <w:pPr>
              <w:pStyle w:val="BodyText"/>
              <w:jc w:val="center"/>
              <w:rPr>
                <w:b w:val="0"/>
                <w:bCs w:val="0"/>
                <w:color w:val="auto"/>
                <w:sz w:val="22"/>
                <w:szCs w:val="22"/>
              </w:rPr>
            </w:pPr>
            <w:r w:rsidRPr="00D33A0B">
              <w:rPr>
                <w:b w:val="0"/>
                <w:iCs/>
                <w:color w:val="auto"/>
                <w:sz w:val="22"/>
                <w:szCs w:val="22"/>
              </w:rPr>
              <w:t>crnogorski</w:t>
            </w:r>
          </w:p>
        </w:tc>
        <w:tc>
          <w:tcPr>
            <w:tcW w:w="2268" w:type="dxa"/>
            <w:gridSpan w:val="3"/>
          </w:tcPr>
          <w:p w:rsidR="00FF46A6" w:rsidRPr="00D33A0B" w:rsidRDefault="00FF46A6" w:rsidP="003D326F">
            <w:pPr>
              <w:pStyle w:val="BodyText"/>
              <w:jc w:val="center"/>
              <w:rPr>
                <w:b w:val="0"/>
                <w:bCs w:val="0"/>
                <w:color w:val="auto"/>
                <w:sz w:val="22"/>
                <w:szCs w:val="22"/>
              </w:rPr>
            </w:pPr>
            <w:r w:rsidRPr="00D33A0B">
              <w:rPr>
                <w:b w:val="0"/>
                <w:bCs w:val="0"/>
                <w:color w:val="auto"/>
                <w:sz w:val="22"/>
                <w:szCs w:val="22"/>
              </w:rPr>
              <w:t>ruski</w:t>
            </w:r>
          </w:p>
        </w:tc>
        <w:tc>
          <w:tcPr>
            <w:cnfStyle w:val="000100000000"/>
            <w:tcW w:w="2410" w:type="dxa"/>
            <w:gridSpan w:val="3"/>
          </w:tcPr>
          <w:p w:rsidR="00FF46A6" w:rsidRPr="00D33A0B" w:rsidRDefault="00FF46A6" w:rsidP="003D326F">
            <w:pPr>
              <w:pStyle w:val="BodyText"/>
              <w:jc w:val="center"/>
              <w:rPr>
                <w:b w:val="0"/>
                <w:bCs w:val="0"/>
                <w:color w:val="auto"/>
                <w:sz w:val="22"/>
                <w:szCs w:val="22"/>
              </w:rPr>
            </w:pPr>
            <w:r w:rsidRPr="00D33A0B">
              <w:rPr>
                <w:b w:val="0"/>
                <w:bCs w:val="0"/>
                <w:color w:val="auto"/>
                <w:sz w:val="22"/>
                <w:szCs w:val="22"/>
              </w:rPr>
              <w:t>engleski</w:t>
            </w:r>
          </w:p>
        </w:tc>
      </w:tr>
      <w:tr w:rsidR="00FF46A6" w:rsidRPr="00D33A0B" w:rsidTr="003D326F">
        <w:tc>
          <w:tcPr>
            <w:tcW w:w="528" w:type="dxa"/>
          </w:tcPr>
          <w:p w:rsidR="00FF46A6" w:rsidRPr="00D33A0B" w:rsidRDefault="00FF46A6" w:rsidP="003D326F">
            <w:pPr>
              <w:pStyle w:val="BodyText"/>
              <w:rPr>
                <w:sz w:val="22"/>
                <w:szCs w:val="22"/>
              </w:rPr>
            </w:pP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2016</w:t>
            </w:r>
          </w:p>
        </w:tc>
        <w:tc>
          <w:tcPr>
            <w:tcW w:w="803" w:type="dxa"/>
          </w:tcPr>
          <w:p w:rsidR="00FF46A6" w:rsidRPr="00D33A0B" w:rsidRDefault="00FF46A6" w:rsidP="003D326F">
            <w:pPr>
              <w:pStyle w:val="BodyText"/>
              <w:jc w:val="center"/>
              <w:rPr>
                <w:bCs/>
                <w:sz w:val="22"/>
                <w:szCs w:val="22"/>
              </w:rPr>
            </w:pPr>
            <w:r w:rsidRPr="00D33A0B">
              <w:rPr>
                <w:bCs/>
                <w:sz w:val="22"/>
                <w:szCs w:val="22"/>
              </w:rPr>
              <w:t>2015</w:t>
            </w:r>
          </w:p>
        </w:tc>
        <w:tc>
          <w:tcPr>
            <w:tcW w:w="803" w:type="dxa"/>
          </w:tcPr>
          <w:p w:rsidR="00FF46A6" w:rsidRPr="00D33A0B" w:rsidRDefault="00FF46A6" w:rsidP="003D326F">
            <w:pPr>
              <w:pStyle w:val="BodyText"/>
              <w:jc w:val="center"/>
              <w:rPr>
                <w:bCs/>
                <w:sz w:val="22"/>
                <w:szCs w:val="22"/>
              </w:rPr>
            </w:pPr>
            <w:r w:rsidRPr="00D33A0B">
              <w:rPr>
                <w:bCs/>
                <w:sz w:val="22"/>
                <w:szCs w:val="22"/>
              </w:rPr>
              <w:t>2013</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2016</w:t>
            </w:r>
          </w:p>
        </w:tc>
        <w:tc>
          <w:tcPr>
            <w:tcW w:w="756" w:type="dxa"/>
          </w:tcPr>
          <w:p w:rsidR="00FF46A6" w:rsidRPr="00D33A0B" w:rsidRDefault="00FF46A6" w:rsidP="003D326F">
            <w:pPr>
              <w:pStyle w:val="BodyText"/>
              <w:jc w:val="center"/>
              <w:rPr>
                <w:bCs/>
                <w:sz w:val="22"/>
                <w:szCs w:val="22"/>
              </w:rPr>
            </w:pPr>
            <w:r w:rsidRPr="00D33A0B">
              <w:rPr>
                <w:bCs/>
                <w:sz w:val="22"/>
                <w:szCs w:val="22"/>
              </w:rPr>
              <w:t>2015</w:t>
            </w:r>
          </w:p>
        </w:tc>
        <w:tc>
          <w:tcPr>
            <w:tcW w:w="756" w:type="dxa"/>
          </w:tcPr>
          <w:p w:rsidR="00FF46A6" w:rsidRPr="00D33A0B" w:rsidRDefault="00FF46A6" w:rsidP="003D326F">
            <w:pPr>
              <w:pStyle w:val="BodyText"/>
              <w:jc w:val="center"/>
              <w:rPr>
                <w:bCs/>
                <w:sz w:val="22"/>
                <w:szCs w:val="22"/>
              </w:rPr>
            </w:pPr>
            <w:r w:rsidRPr="00D33A0B">
              <w:rPr>
                <w:bCs/>
                <w:sz w:val="22"/>
                <w:szCs w:val="22"/>
              </w:rPr>
              <w:t>2013</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2016</w:t>
            </w:r>
          </w:p>
        </w:tc>
        <w:tc>
          <w:tcPr>
            <w:tcW w:w="756" w:type="dxa"/>
          </w:tcPr>
          <w:p w:rsidR="00FF46A6" w:rsidRPr="00D33A0B" w:rsidRDefault="00FF46A6" w:rsidP="003D326F">
            <w:pPr>
              <w:pStyle w:val="BodyText"/>
              <w:jc w:val="center"/>
              <w:rPr>
                <w:bCs/>
                <w:sz w:val="22"/>
                <w:szCs w:val="22"/>
              </w:rPr>
            </w:pPr>
            <w:r w:rsidRPr="00D33A0B">
              <w:rPr>
                <w:bCs/>
                <w:sz w:val="22"/>
                <w:szCs w:val="22"/>
              </w:rPr>
              <w:t>2015</w:t>
            </w:r>
          </w:p>
        </w:tc>
        <w:tc>
          <w:tcPr>
            <w:tcW w:w="756" w:type="dxa"/>
          </w:tcPr>
          <w:p w:rsidR="00FF46A6" w:rsidRPr="00D33A0B" w:rsidRDefault="00FF46A6" w:rsidP="003D326F">
            <w:pPr>
              <w:pStyle w:val="BodyText"/>
              <w:jc w:val="center"/>
              <w:rPr>
                <w:bCs/>
                <w:sz w:val="22"/>
                <w:szCs w:val="22"/>
              </w:rPr>
            </w:pPr>
            <w:r w:rsidRPr="00D33A0B">
              <w:rPr>
                <w:bCs/>
                <w:sz w:val="22"/>
                <w:szCs w:val="22"/>
              </w:rPr>
              <w:t>2013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2016</w:t>
            </w:r>
          </w:p>
        </w:tc>
        <w:tc>
          <w:tcPr>
            <w:tcW w:w="803" w:type="dxa"/>
          </w:tcPr>
          <w:p w:rsidR="00FF46A6" w:rsidRPr="00D33A0B" w:rsidRDefault="00FF46A6" w:rsidP="003D326F">
            <w:pPr>
              <w:pStyle w:val="BodyText"/>
              <w:jc w:val="center"/>
              <w:rPr>
                <w:bCs/>
                <w:sz w:val="22"/>
                <w:szCs w:val="22"/>
              </w:rPr>
            </w:pPr>
            <w:r w:rsidRPr="00D33A0B">
              <w:rPr>
                <w:bCs/>
                <w:sz w:val="22"/>
                <w:szCs w:val="22"/>
              </w:rPr>
              <w:t>2015</w:t>
            </w:r>
          </w:p>
        </w:tc>
        <w:tc>
          <w:tcPr>
            <w:cnfStyle w:val="000100000000"/>
            <w:tcW w:w="804" w:type="dxa"/>
          </w:tcPr>
          <w:p w:rsidR="00FF46A6" w:rsidRPr="00D33A0B" w:rsidRDefault="00FF46A6" w:rsidP="003D326F">
            <w:pPr>
              <w:pStyle w:val="BodyText"/>
              <w:jc w:val="center"/>
              <w:rPr>
                <w:b w:val="0"/>
                <w:bCs w:val="0"/>
                <w:sz w:val="22"/>
                <w:szCs w:val="22"/>
              </w:rPr>
            </w:pPr>
            <w:r w:rsidRPr="00D33A0B">
              <w:rPr>
                <w:b w:val="0"/>
                <w:bCs w:val="0"/>
                <w:sz w:val="22"/>
                <w:szCs w:val="22"/>
              </w:rPr>
              <w:t>2013</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4.60</w:t>
            </w:r>
          </w:p>
        </w:tc>
        <w:tc>
          <w:tcPr>
            <w:tcW w:w="803" w:type="dxa"/>
          </w:tcPr>
          <w:p w:rsidR="00FF46A6" w:rsidRPr="00D33A0B" w:rsidRDefault="00FF46A6" w:rsidP="003D326F">
            <w:pPr>
              <w:pStyle w:val="BodyText"/>
              <w:jc w:val="center"/>
              <w:rPr>
                <w:sz w:val="22"/>
                <w:szCs w:val="22"/>
              </w:rPr>
            </w:pPr>
            <w:r w:rsidRPr="00D33A0B">
              <w:rPr>
                <w:sz w:val="22"/>
                <w:szCs w:val="22"/>
              </w:rPr>
              <w:t>4.49</w:t>
            </w:r>
          </w:p>
        </w:tc>
        <w:tc>
          <w:tcPr>
            <w:tcW w:w="803" w:type="dxa"/>
          </w:tcPr>
          <w:p w:rsidR="00FF46A6" w:rsidRPr="00D33A0B" w:rsidRDefault="00FF46A6" w:rsidP="003D326F">
            <w:pPr>
              <w:pStyle w:val="BodyText"/>
              <w:jc w:val="center"/>
              <w:rPr>
                <w:sz w:val="22"/>
                <w:szCs w:val="22"/>
              </w:rPr>
            </w:pPr>
            <w:r w:rsidRPr="00D33A0B">
              <w:rPr>
                <w:sz w:val="22"/>
                <w:szCs w:val="22"/>
              </w:rPr>
              <w:t>4.64</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4.52</w:t>
            </w:r>
          </w:p>
        </w:tc>
        <w:tc>
          <w:tcPr>
            <w:tcW w:w="756" w:type="dxa"/>
          </w:tcPr>
          <w:p w:rsidR="00FF46A6" w:rsidRPr="00D33A0B" w:rsidRDefault="00FF46A6" w:rsidP="003D326F">
            <w:pPr>
              <w:pStyle w:val="BodyText"/>
              <w:jc w:val="center"/>
              <w:rPr>
                <w:sz w:val="22"/>
                <w:szCs w:val="22"/>
              </w:rPr>
            </w:pPr>
            <w:r w:rsidRPr="00D33A0B">
              <w:rPr>
                <w:sz w:val="22"/>
                <w:szCs w:val="22"/>
              </w:rPr>
              <w:t>4.40</w:t>
            </w:r>
          </w:p>
        </w:tc>
        <w:tc>
          <w:tcPr>
            <w:tcW w:w="756" w:type="dxa"/>
          </w:tcPr>
          <w:p w:rsidR="00FF46A6" w:rsidRPr="00D33A0B" w:rsidRDefault="00FF46A6" w:rsidP="003D326F">
            <w:pPr>
              <w:pStyle w:val="BodyText"/>
              <w:jc w:val="center"/>
              <w:rPr>
                <w:sz w:val="22"/>
                <w:szCs w:val="22"/>
              </w:rPr>
            </w:pPr>
            <w:r w:rsidRPr="00D33A0B">
              <w:rPr>
                <w:sz w:val="22"/>
                <w:szCs w:val="22"/>
              </w:rPr>
              <w:t>4.46</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4.64</w:t>
            </w:r>
          </w:p>
        </w:tc>
        <w:tc>
          <w:tcPr>
            <w:tcW w:w="756" w:type="dxa"/>
          </w:tcPr>
          <w:p w:rsidR="00FF46A6" w:rsidRPr="00D33A0B" w:rsidRDefault="00FF46A6" w:rsidP="003D326F">
            <w:pPr>
              <w:pStyle w:val="BodyText"/>
              <w:jc w:val="center"/>
              <w:rPr>
                <w:sz w:val="22"/>
                <w:szCs w:val="22"/>
              </w:rPr>
            </w:pPr>
            <w:r w:rsidRPr="00D33A0B">
              <w:rPr>
                <w:sz w:val="22"/>
                <w:szCs w:val="22"/>
              </w:rPr>
              <w:t>4.54</w:t>
            </w:r>
          </w:p>
        </w:tc>
        <w:tc>
          <w:tcPr>
            <w:tcW w:w="756" w:type="dxa"/>
          </w:tcPr>
          <w:p w:rsidR="00FF46A6" w:rsidRPr="00D33A0B" w:rsidRDefault="00FF46A6" w:rsidP="003D326F">
            <w:pPr>
              <w:pStyle w:val="BodyText"/>
              <w:jc w:val="center"/>
              <w:rPr>
                <w:sz w:val="22"/>
                <w:szCs w:val="22"/>
              </w:rPr>
            </w:pPr>
            <w:r w:rsidRPr="00D33A0B">
              <w:rPr>
                <w:sz w:val="22"/>
                <w:szCs w:val="22"/>
              </w:rPr>
              <w:t>4.73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4.64</w:t>
            </w:r>
          </w:p>
        </w:tc>
        <w:tc>
          <w:tcPr>
            <w:tcW w:w="803" w:type="dxa"/>
          </w:tcPr>
          <w:p w:rsidR="00FF46A6" w:rsidRPr="00D33A0B" w:rsidRDefault="00FF46A6" w:rsidP="003D326F">
            <w:pPr>
              <w:pStyle w:val="BodyText"/>
              <w:jc w:val="center"/>
              <w:rPr>
                <w:sz w:val="22"/>
                <w:szCs w:val="22"/>
              </w:rPr>
            </w:pPr>
            <w:r w:rsidRPr="00D33A0B">
              <w:rPr>
                <w:sz w:val="22"/>
                <w:szCs w:val="22"/>
              </w:rPr>
              <w:t>4.52</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4.73</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4.39</w:t>
            </w:r>
          </w:p>
        </w:tc>
        <w:tc>
          <w:tcPr>
            <w:tcW w:w="803" w:type="dxa"/>
          </w:tcPr>
          <w:p w:rsidR="00FF46A6" w:rsidRPr="00D33A0B" w:rsidRDefault="00FF46A6" w:rsidP="003D326F">
            <w:pPr>
              <w:pStyle w:val="BodyText"/>
              <w:jc w:val="center"/>
              <w:rPr>
                <w:sz w:val="22"/>
                <w:szCs w:val="22"/>
              </w:rPr>
            </w:pPr>
            <w:r w:rsidRPr="00D33A0B">
              <w:rPr>
                <w:sz w:val="22"/>
                <w:szCs w:val="22"/>
              </w:rPr>
              <w:t>4.40</w:t>
            </w:r>
          </w:p>
        </w:tc>
        <w:tc>
          <w:tcPr>
            <w:tcW w:w="803" w:type="dxa"/>
          </w:tcPr>
          <w:p w:rsidR="00FF46A6" w:rsidRPr="00D33A0B" w:rsidRDefault="00FF46A6" w:rsidP="003D326F">
            <w:pPr>
              <w:pStyle w:val="BodyText"/>
              <w:jc w:val="center"/>
              <w:rPr>
                <w:sz w:val="22"/>
                <w:szCs w:val="22"/>
              </w:rPr>
            </w:pPr>
            <w:r w:rsidRPr="00D33A0B">
              <w:rPr>
                <w:sz w:val="22"/>
                <w:szCs w:val="22"/>
              </w:rPr>
              <w:t>4.48</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4.35</w:t>
            </w:r>
          </w:p>
        </w:tc>
        <w:tc>
          <w:tcPr>
            <w:tcW w:w="756" w:type="dxa"/>
          </w:tcPr>
          <w:p w:rsidR="00FF46A6" w:rsidRPr="00D33A0B" w:rsidRDefault="00FF46A6" w:rsidP="003D326F">
            <w:pPr>
              <w:pStyle w:val="BodyText"/>
              <w:jc w:val="center"/>
              <w:rPr>
                <w:sz w:val="22"/>
                <w:szCs w:val="22"/>
              </w:rPr>
            </w:pPr>
            <w:r w:rsidRPr="00D33A0B">
              <w:rPr>
                <w:sz w:val="22"/>
                <w:szCs w:val="22"/>
              </w:rPr>
              <w:t>4.40</w:t>
            </w:r>
          </w:p>
        </w:tc>
        <w:tc>
          <w:tcPr>
            <w:tcW w:w="756" w:type="dxa"/>
          </w:tcPr>
          <w:p w:rsidR="00FF46A6" w:rsidRPr="00D33A0B" w:rsidRDefault="00FF46A6" w:rsidP="003D326F">
            <w:pPr>
              <w:pStyle w:val="BodyText"/>
              <w:jc w:val="center"/>
              <w:rPr>
                <w:sz w:val="22"/>
                <w:szCs w:val="22"/>
              </w:rPr>
            </w:pPr>
            <w:r w:rsidRPr="00D33A0B">
              <w:rPr>
                <w:sz w:val="22"/>
                <w:szCs w:val="22"/>
              </w:rPr>
              <w:t>4.39</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4.34</w:t>
            </w:r>
          </w:p>
        </w:tc>
        <w:tc>
          <w:tcPr>
            <w:tcW w:w="756" w:type="dxa"/>
          </w:tcPr>
          <w:p w:rsidR="00FF46A6" w:rsidRPr="00D33A0B" w:rsidRDefault="00FF46A6" w:rsidP="003D326F">
            <w:pPr>
              <w:pStyle w:val="BodyText"/>
              <w:jc w:val="center"/>
              <w:rPr>
                <w:sz w:val="22"/>
                <w:szCs w:val="22"/>
              </w:rPr>
            </w:pPr>
            <w:r w:rsidRPr="00D33A0B">
              <w:rPr>
                <w:sz w:val="22"/>
                <w:szCs w:val="22"/>
              </w:rPr>
              <w:t>4.31</w:t>
            </w:r>
          </w:p>
        </w:tc>
        <w:tc>
          <w:tcPr>
            <w:tcW w:w="756" w:type="dxa"/>
          </w:tcPr>
          <w:p w:rsidR="00FF46A6" w:rsidRPr="00D33A0B" w:rsidRDefault="00FF46A6" w:rsidP="003D326F">
            <w:pPr>
              <w:pStyle w:val="BodyText"/>
              <w:jc w:val="center"/>
              <w:rPr>
                <w:sz w:val="22"/>
                <w:szCs w:val="22"/>
              </w:rPr>
            </w:pPr>
            <w:r w:rsidRPr="00D33A0B">
              <w:rPr>
                <w:sz w:val="22"/>
                <w:szCs w:val="22"/>
              </w:rPr>
              <w:t>4.48</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4.49</w:t>
            </w:r>
          </w:p>
        </w:tc>
        <w:tc>
          <w:tcPr>
            <w:tcW w:w="803" w:type="dxa"/>
          </w:tcPr>
          <w:p w:rsidR="00FF46A6" w:rsidRPr="00D33A0B" w:rsidRDefault="00FF46A6" w:rsidP="003D326F">
            <w:pPr>
              <w:pStyle w:val="BodyText"/>
              <w:jc w:val="center"/>
              <w:rPr>
                <w:sz w:val="22"/>
                <w:szCs w:val="22"/>
              </w:rPr>
            </w:pPr>
            <w:r w:rsidRPr="00D33A0B">
              <w:rPr>
                <w:sz w:val="22"/>
                <w:szCs w:val="22"/>
              </w:rPr>
              <w:t>4.48</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4.58</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4.37</w:t>
            </w:r>
          </w:p>
        </w:tc>
        <w:tc>
          <w:tcPr>
            <w:tcW w:w="803" w:type="dxa"/>
          </w:tcPr>
          <w:p w:rsidR="00FF46A6" w:rsidRPr="00D33A0B" w:rsidRDefault="00FF46A6" w:rsidP="003D326F">
            <w:pPr>
              <w:pStyle w:val="BodyText"/>
              <w:jc w:val="center"/>
              <w:rPr>
                <w:sz w:val="22"/>
                <w:szCs w:val="22"/>
              </w:rPr>
            </w:pPr>
            <w:r w:rsidRPr="00D33A0B">
              <w:rPr>
                <w:sz w:val="22"/>
                <w:szCs w:val="22"/>
              </w:rPr>
              <w:t>4.38</w:t>
            </w:r>
          </w:p>
        </w:tc>
        <w:tc>
          <w:tcPr>
            <w:tcW w:w="803" w:type="dxa"/>
          </w:tcPr>
          <w:p w:rsidR="00FF46A6" w:rsidRPr="00D33A0B" w:rsidRDefault="00FF46A6" w:rsidP="003D326F">
            <w:pPr>
              <w:pStyle w:val="BodyText"/>
              <w:jc w:val="center"/>
              <w:rPr>
                <w:sz w:val="22"/>
                <w:szCs w:val="22"/>
              </w:rPr>
            </w:pPr>
            <w:r w:rsidRPr="00D33A0B">
              <w:rPr>
                <w:sz w:val="22"/>
                <w:szCs w:val="22"/>
              </w:rPr>
              <w:t>4.48</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4.33</w:t>
            </w:r>
          </w:p>
        </w:tc>
        <w:tc>
          <w:tcPr>
            <w:tcW w:w="756" w:type="dxa"/>
          </w:tcPr>
          <w:p w:rsidR="00FF46A6" w:rsidRPr="00D33A0B" w:rsidRDefault="00FF46A6" w:rsidP="003D326F">
            <w:pPr>
              <w:pStyle w:val="BodyText"/>
              <w:jc w:val="center"/>
              <w:rPr>
                <w:sz w:val="22"/>
                <w:szCs w:val="22"/>
              </w:rPr>
            </w:pPr>
            <w:r w:rsidRPr="00D33A0B">
              <w:rPr>
                <w:sz w:val="22"/>
                <w:szCs w:val="22"/>
              </w:rPr>
              <w:t>4.31</w:t>
            </w:r>
          </w:p>
        </w:tc>
        <w:tc>
          <w:tcPr>
            <w:tcW w:w="756" w:type="dxa"/>
          </w:tcPr>
          <w:p w:rsidR="00FF46A6" w:rsidRPr="00D33A0B" w:rsidRDefault="00FF46A6" w:rsidP="003D326F">
            <w:pPr>
              <w:pStyle w:val="BodyText"/>
              <w:jc w:val="center"/>
              <w:rPr>
                <w:sz w:val="22"/>
                <w:szCs w:val="22"/>
              </w:rPr>
            </w:pPr>
            <w:r w:rsidRPr="00D33A0B">
              <w:rPr>
                <w:sz w:val="22"/>
                <w:szCs w:val="22"/>
              </w:rPr>
              <w:t>4.39</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4.33</w:t>
            </w:r>
          </w:p>
        </w:tc>
        <w:tc>
          <w:tcPr>
            <w:tcW w:w="756" w:type="dxa"/>
          </w:tcPr>
          <w:p w:rsidR="00FF46A6" w:rsidRPr="00D33A0B" w:rsidRDefault="00FF46A6" w:rsidP="003D326F">
            <w:pPr>
              <w:pStyle w:val="BodyText"/>
              <w:jc w:val="center"/>
              <w:rPr>
                <w:sz w:val="22"/>
                <w:szCs w:val="22"/>
              </w:rPr>
            </w:pPr>
            <w:r w:rsidRPr="00D33A0B">
              <w:rPr>
                <w:sz w:val="22"/>
                <w:szCs w:val="22"/>
              </w:rPr>
              <w:t>4.34</w:t>
            </w:r>
          </w:p>
        </w:tc>
        <w:tc>
          <w:tcPr>
            <w:tcW w:w="756" w:type="dxa"/>
          </w:tcPr>
          <w:p w:rsidR="00FF46A6" w:rsidRPr="00D33A0B" w:rsidRDefault="00FF46A6" w:rsidP="003D326F">
            <w:pPr>
              <w:pStyle w:val="BodyText"/>
              <w:jc w:val="center"/>
              <w:rPr>
                <w:sz w:val="22"/>
                <w:szCs w:val="22"/>
              </w:rPr>
            </w:pPr>
            <w:r w:rsidRPr="00D33A0B">
              <w:rPr>
                <w:sz w:val="22"/>
                <w:szCs w:val="22"/>
              </w:rPr>
              <w:t>4.43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4.45</w:t>
            </w:r>
          </w:p>
        </w:tc>
        <w:tc>
          <w:tcPr>
            <w:tcW w:w="803" w:type="dxa"/>
          </w:tcPr>
          <w:p w:rsidR="00FF46A6" w:rsidRPr="00D33A0B" w:rsidRDefault="00FF46A6" w:rsidP="003D326F">
            <w:pPr>
              <w:pStyle w:val="BodyText"/>
              <w:jc w:val="center"/>
              <w:rPr>
                <w:sz w:val="22"/>
                <w:szCs w:val="22"/>
              </w:rPr>
            </w:pPr>
            <w:r w:rsidRPr="00D33A0B">
              <w:rPr>
                <w:sz w:val="22"/>
                <w:szCs w:val="22"/>
              </w:rPr>
              <w:t>4.49</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4.63</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4.</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4.40</w:t>
            </w:r>
          </w:p>
        </w:tc>
        <w:tc>
          <w:tcPr>
            <w:tcW w:w="803" w:type="dxa"/>
          </w:tcPr>
          <w:p w:rsidR="00FF46A6" w:rsidRPr="00D33A0B" w:rsidRDefault="00FF46A6" w:rsidP="003D326F">
            <w:pPr>
              <w:pStyle w:val="BodyText"/>
              <w:jc w:val="center"/>
              <w:rPr>
                <w:sz w:val="22"/>
                <w:szCs w:val="22"/>
              </w:rPr>
            </w:pPr>
            <w:r w:rsidRPr="00D33A0B">
              <w:rPr>
                <w:sz w:val="22"/>
                <w:szCs w:val="22"/>
              </w:rPr>
              <w:t>4.42</w:t>
            </w:r>
          </w:p>
        </w:tc>
        <w:tc>
          <w:tcPr>
            <w:tcW w:w="803" w:type="dxa"/>
          </w:tcPr>
          <w:p w:rsidR="00FF46A6" w:rsidRPr="00D33A0B" w:rsidRDefault="00FF46A6" w:rsidP="003D326F">
            <w:pPr>
              <w:pStyle w:val="BodyText"/>
              <w:jc w:val="center"/>
              <w:rPr>
                <w:sz w:val="22"/>
                <w:szCs w:val="22"/>
              </w:rPr>
            </w:pPr>
            <w:r w:rsidRPr="00D33A0B">
              <w:rPr>
                <w:sz w:val="22"/>
                <w:szCs w:val="22"/>
              </w:rPr>
              <w:t>4.56</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4.37</w:t>
            </w:r>
          </w:p>
        </w:tc>
        <w:tc>
          <w:tcPr>
            <w:tcW w:w="756" w:type="dxa"/>
          </w:tcPr>
          <w:p w:rsidR="00FF46A6" w:rsidRPr="00D33A0B" w:rsidRDefault="00FF46A6" w:rsidP="003D326F">
            <w:pPr>
              <w:pStyle w:val="BodyText"/>
              <w:jc w:val="center"/>
              <w:rPr>
                <w:sz w:val="22"/>
                <w:szCs w:val="22"/>
              </w:rPr>
            </w:pPr>
            <w:r w:rsidRPr="00D33A0B">
              <w:rPr>
                <w:sz w:val="22"/>
                <w:szCs w:val="22"/>
              </w:rPr>
              <w:t>4.41</w:t>
            </w:r>
          </w:p>
        </w:tc>
        <w:tc>
          <w:tcPr>
            <w:tcW w:w="756" w:type="dxa"/>
          </w:tcPr>
          <w:p w:rsidR="00FF46A6" w:rsidRPr="00D33A0B" w:rsidRDefault="00FF46A6" w:rsidP="003D326F">
            <w:pPr>
              <w:pStyle w:val="BodyText"/>
              <w:jc w:val="center"/>
              <w:rPr>
                <w:sz w:val="22"/>
                <w:szCs w:val="22"/>
              </w:rPr>
            </w:pPr>
            <w:r w:rsidRPr="00D33A0B">
              <w:rPr>
                <w:sz w:val="22"/>
                <w:szCs w:val="22"/>
              </w:rPr>
              <w:t>4.44</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4.34</w:t>
            </w:r>
          </w:p>
        </w:tc>
        <w:tc>
          <w:tcPr>
            <w:tcW w:w="756" w:type="dxa"/>
          </w:tcPr>
          <w:p w:rsidR="00FF46A6" w:rsidRPr="00D33A0B" w:rsidRDefault="00FF46A6" w:rsidP="003D326F">
            <w:pPr>
              <w:pStyle w:val="BodyText"/>
              <w:jc w:val="center"/>
              <w:rPr>
                <w:sz w:val="22"/>
                <w:szCs w:val="22"/>
              </w:rPr>
            </w:pPr>
            <w:r w:rsidRPr="00D33A0B">
              <w:rPr>
                <w:sz w:val="22"/>
                <w:szCs w:val="22"/>
              </w:rPr>
              <w:t>4.35</w:t>
            </w:r>
          </w:p>
        </w:tc>
        <w:tc>
          <w:tcPr>
            <w:tcW w:w="756" w:type="dxa"/>
          </w:tcPr>
          <w:p w:rsidR="00FF46A6" w:rsidRPr="00D33A0B" w:rsidRDefault="00FF46A6" w:rsidP="003D326F">
            <w:pPr>
              <w:pStyle w:val="BodyText"/>
              <w:jc w:val="center"/>
              <w:rPr>
                <w:sz w:val="22"/>
                <w:szCs w:val="22"/>
              </w:rPr>
            </w:pPr>
            <w:r w:rsidRPr="00D33A0B">
              <w:rPr>
                <w:sz w:val="22"/>
                <w:szCs w:val="22"/>
              </w:rPr>
              <w:t>4.63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4.49</w:t>
            </w:r>
          </w:p>
        </w:tc>
        <w:tc>
          <w:tcPr>
            <w:tcW w:w="803" w:type="dxa"/>
          </w:tcPr>
          <w:p w:rsidR="00FF46A6" w:rsidRPr="00D33A0B" w:rsidRDefault="00FF46A6" w:rsidP="003D326F">
            <w:pPr>
              <w:pStyle w:val="BodyText"/>
              <w:jc w:val="center"/>
              <w:rPr>
                <w:sz w:val="22"/>
                <w:szCs w:val="22"/>
              </w:rPr>
            </w:pPr>
            <w:r w:rsidRPr="00D33A0B">
              <w:rPr>
                <w:sz w:val="22"/>
                <w:szCs w:val="22"/>
              </w:rPr>
              <w:t>4.49</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4.61</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5.</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4.28</w:t>
            </w:r>
          </w:p>
        </w:tc>
        <w:tc>
          <w:tcPr>
            <w:tcW w:w="803" w:type="dxa"/>
          </w:tcPr>
          <w:p w:rsidR="00FF46A6" w:rsidRPr="00D33A0B" w:rsidRDefault="00FF46A6" w:rsidP="003D326F">
            <w:pPr>
              <w:pStyle w:val="BodyText"/>
              <w:jc w:val="center"/>
              <w:rPr>
                <w:sz w:val="22"/>
                <w:szCs w:val="22"/>
              </w:rPr>
            </w:pPr>
            <w:r w:rsidRPr="00D33A0B">
              <w:rPr>
                <w:sz w:val="22"/>
                <w:szCs w:val="22"/>
              </w:rPr>
              <w:t>4.32</w:t>
            </w:r>
          </w:p>
        </w:tc>
        <w:tc>
          <w:tcPr>
            <w:tcW w:w="803" w:type="dxa"/>
          </w:tcPr>
          <w:p w:rsidR="00FF46A6" w:rsidRPr="00D33A0B" w:rsidRDefault="00FF46A6" w:rsidP="003D326F">
            <w:pPr>
              <w:pStyle w:val="BodyText"/>
              <w:jc w:val="center"/>
              <w:rPr>
                <w:sz w:val="22"/>
                <w:szCs w:val="22"/>
              </w:rPr>
            </w:pPr>
            <w:r w:rsidRPr="00D33A0B">
              <w:rPr>
                <w:sz w:val="22"/>
                <w:szCs w:val="22"/>
              </w:rPr>
              <w:t>4.40</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4.28</w:t>
            </w:r>
          </w:p>
        </w:tc>
        <w:tc>
          <w:tcPr>
            <w:tcW w:w="756" w:type="dxa"/>
          </w:tcPr>
          <w:p w:rsidR="00FF46A6" w:rsidRPr="00D33A0B" w:rsidRDefault="00FF46A6" w:rsidP="003D326F">
            <w:pPr>
              <w:pStyle w:val="BodyText"/>
              <w:jc w:val="center"/>
              <w:rPr>
                <w:sz w:val="22"/>
                <w:szCs w:val="22"/>
              </w:rPr>
            </w:pPr>
            <w:r w:rsidRPr="00D33A0B">
              <w:rPr>
                <w:sz w:val="22"/>
                <w:szCs w:val="22"/>
              </w:rPr>
              <w:t>4.26</w:t>
            </w:r>
          </w:p>
        </w:tc>
        <w:tc>
          <w:tcPr>
            <w:tcW w:w="756" w:type="dxa"/>
          </w:tcPr>
          <w:p w:rsidR="00FF46A6" w:rsidRPr="00D33A0B" w:rsidRDefault="00FF46A6" w:rsidP="003D326F">
            <w:pPr>
              <w:pStyle w:val="BodyText"/>
              <w:jc w:val="center"/>
              <w:rPr>
                <w:sz w:val="22"/>
                <w:szCs w:val="22"/>
              </w:rPr>
            </w:pPr>
            <w:r w:rsidRPr="00D33A0B">
              <w:rPr>
                <w:sz w:val="22"/>
                <w:szCs w:val="22"/>
              </w:rPr>
              <w:t>4.30</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4.22</w:t>
            </w:r>
          </w:p>
        </w:tc>
        <w:tc>
          <w:tcPr>
            <w:tcW w:w="756" w:type="dxa"/>
          </w:tcPr>
          <w:p w:rsidR="00FF46A6" w:rsidRPr="00D33A0B" w:rsidRDefault="00FF46A6" w:rsidP="003D326F">
            <w:pPr>
              <w:pStyle w:val="BodyText"/>
              <w:jc w:val="center"/>
              <w:rPr>
                <w:sz w:val="22"/>
                <w:szCs w:val="22"/>
              </w:rPr>
            </w:pPr>
            <w:r w:rsidRPr="00D33A0B">
              <w:rPr>
                <w:sz w:val="22"/>
                <w:szCs w:val="22"/>
              </w:rPr>
              <w:t>4.24</w:t>
            </w:r>
          </w:p>
        </w:tc>
        <w:tc>
          <w:tcPr>
            <w:tcW w:w="756" w:type="dxa"/>
          </w:tcPr>
          <w:p w:rsidR="00FF46A6" w:rsidRPr="00D33A0B" w:rsidRDefault="00FF46A6" w:rsidP="003D326F">
            <w:pPr>
              <w:pStyle w:val="BodyText"/>
              <w:jc w:val="center"/>
              <w:rPr>
                <w:sz w:val="22"/>
                <w:szCs w:val="22"/>
              </w:rPr>
            </w:pPr>
            <w:r w:rsidRPr="00D33A0B">
              <w:rPr>
                <w:sz w:val="22"/>
                <w:szCs w:val="22"/>
              </w:rPr>
              <w:t>4.37</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4.33</w:t>
            </w:r>
          </w:p>
        </w:tc>
        <w:tc>
          <w:tcPr>
            <w:tcW w:w="803" w:type="dxa"/>
          </w:tcPr>
          <w:p w:rsidR="00FF46A6" w:rsidRPr="00D33A0B" w:rsidRDefault="00FF46A6" w:rsidP="003D326F">
            <w:pPr>
              <w:pStyle w:val="BodyText"/>
              <w:jc w:val="center"/>
              <w:rPr>
                <w:sz w:val="22"/>
                <w:szCs w:val="22"/>
              </w:rPr>
            </w:pPr>
            <w:r w:rsidRPr="00D33A0B">
              <w:rPr>
                <w:sz w:val="22"/>
                <w:szCs w:val="22"/>
              </w:rPr>
              <w:t>4.46</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4.53</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6.</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4.34</w:t>
            </w:r>
          </w:p>
        </w:tc>
        <w:tc>
          <w:tcPr>
            <w:tcW w:w="803" w:type="dxa"/>
          </w:tcPr>
          <w:p w:rsidR="00FF46A6" w:rsidRPr="00D33A0B" w:rsidRDefault="00FF46A6" w:rsidP="003D326F">
            <w:pPr>
              <w:pStyle w:val="BodyText"/>
              <w:jc w:val="center"/>
              <w:rPr>
                <w:sz w:val="22"/>
                <w:szCs w:val="22"/>
              </w:rPr>
            </w:pPr>
            <w:r w:rsidRPr="00D33A0B">
              <w:rPr>
                <w:sz w:val="22"/>
                <w:szCs w:val="22"/>
              </w:rPr>
              <w:t>4.32</w:t>
            </w:r>
          </w:p>
        </w:tc>
        <w:tc>
          <w:tcPr>
            <w:tcW w:w="803" w:type="dxa"/>
          </w:tcPr>
          <w:p w:rsidR="00FF46A6" w:rsidRPr="00D33A0B" w:rsidRDefault="00FF46A6" w:rsidP="003D326F">
            <w:pPr>
              <w:pStyle w:val="BodyText"/>
              <w:jc w:val="center"/>
              <w:rPr>
                <w:sz w:val="22"/>
                <w:szCs w:val="22"/>
              </w:rPr>
            </w:pPr>
            <w:r w:rsidRPr="00D33A0B">
              <w:rPr>
                <w:sz w:val="22"/>
                <w:szCs w:val="22"/>
              </w:rPr>
              <w:t>4.35</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4.35</w:t>
            </w:r>
          </w:p>
        </w:tc>
        <w:tc>
          <w:tcPr>
            <w:tcW w:w="756" w:type="dxa"/>
          </w:tcPr>
          <w:p w:rsidR="00FF46A6" w:rsidRPr="00D33A0B" w:rsidRDefault="00FF46A6" w:rsidP="003D326F">
            <w:pPr>
              <w:pStyle w:val="BodyText"/>
              <w:jc w:val="center"/>
              <w:rPr>
                <w:sz w:val="22"/>
                <w:szCs w:val="22"/>
              </w:rPr>
            </w:pPr>
            <w:r w:rsidRPr="00D33A0B">
              <w:rPr>
                <w:sz w:val="22"/>
                <w:szCs w:val="22"/>
              </w:rPr>
              <w:t>4.24</w:t>
            </w:r>
          </w:p>
        </w:tc>
        <w:tc>
          <w:tcPr>
            <w:tcW w:w="756" w:type="dxa"/>
          </w:tcPr>
          <w:p w:rsidR="00FF46A6" w:rsidRPr="00D33A0B" w:rsidRDefault="00FF46A6" w:rsidP="003D326F">
            <w:pPr>
              <w:pStyle w:val="BodyText"/>
              <w:jc w:val="center"/>
              <w:rPr>
                <w:sz w:val="22"/>
                <w:szCs w:val="22"/>
              </w:rPr>
            </w:pPr>
            <w:r w:rsidRPr="00D33A0B">
              <w:rPr>
                <w:sz w:val="22"/>
                <w:szCs w:val="22"/>
              </w:rPr>
              <w:t>4.25</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4.34</w:t>
            </w:r>
          </w:p>
        </w:tc>
        <w:tc>
          <w:tcPr>
            <w:tcW w:w="756" w:type="dxa"/>
          </w:tcPr>
          <w:p w:rsidR="00FF46A6" w:rsidRPr="00D33A0B" w:rsidRDefault="00FF46A6" w:rsidP="003D326F">
            <w:pPr>
              <w:pStyle w:val="BodyText"/>
              <w:jc w:val="center"/>
              <w:rPr>
                <w:sz w:val="22"/>
                <w:szCs w:val="22"/>
              </w:rPr>
            </w:pPr>
            <w:r w:rsidRPr="00D33A0B">
              <w:rPr>
                <w:sz w:val="22"/>
                <w:szCs w:val="22"/>
              </w:rPr>
              <w:t>4.26</w:t>
            </w:r>
          </w:p>
        </w:tc>
        <w:tc>
          <w:tcPr>
            <w:tcW w:w="756" w:type="dxa"/>
          </w:tcPr>
          <w:p w:rsidR="00FF46A6" w:rsidRPr="00D33A0B" w:rsidRDefault="00FF46A6" w:rsidP="003D326F">
            <w:pPr>
              <w:pStyle w:val="BodyText"/>
              <w:jc w:val="center"/>
              <w:rPr>
                <w:sz w:val="22"/>
                <w:szCs w:val="22"/>
              </w:rPr>
            </w:pPr>
            <w:r w:rsidRPr="00D33A0B">
              <w:rPr>
                <w:sz w:val="22"/>
                <w:szCs w:val="22"/>
              </w:rPr>
              <w:t>4.29</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4.32</w:t>
            </w:r>
          </w:p>
        </w:tc>
        <w:tc>
          <w:tcPr>
            <w:tcW w:w="803" w:type="dxa"/>
          </w:tcPr>
          <w:p w:rsidR="00FF46A6" w:rsidRPr="00D33A0B" w:rsidRDefault="00FF46A6" w:rsidP="003D326F">
            <w:pPr>
              <w:pStyle w:val="BodyText"/>
              <w:jc w:val="center"/>
              <w:rPr>
                <w:sz w:val="22"/>
                <w:szCs w:val="22"/>
              </w:rPr>
            </w:pPr>
            <w:r w:rsidRPr="00D33A0B">
              <w:rPr>
                <w:sz w:val="22"/>
                <w:szCs w:val="22"/>
              </w:rPr>
              <w:t>4.47</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4.52</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7.</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4.33</w:t>
            </w:r>
          </w:p>
        </w:tc>
        <w:tc>
          <w:tcPr>
            <w:tcW w:w="803" w:type="dxa"/>
          </w:tcPr>
          <w:p w:rsidR="00FF46A6" w:rsidRPr="00D33A0B" w:rsidRDefault="00FF46A6" w:rsidP="003D326F">
            <w:pPr>
              <w:pStyle w:val="BodyText"/>
              <w:jc w:val="center"/>
              <w:rPr>
                <w:sz w:val="22"/>
                <w:szCs w:val="22"/>
              </w:rPr>
            </w:pPr>
            <w:r w:rsidRPr="00D33A0B">
              <w:rPr>
                <w:sz w:val="22"/>
                <w:szCs w:val="22"/>
              </w:rPr>
              <w:t>4.27</w:t>
            </w:r>
          </w:p>
        </w:tc>
        <w:tc>
          <w:tcPr>
            <w:tcW w:w="803" w:type="dxa"/>
          </w:tcPr>
          <w:p w:rsidR="00FF46A6" w:rsidRPr="00D33A0B" w:rsidRDefault="00FF46A6" w:rsidP="003D326F">
            <w:pPr>
              <w:pStyle w:val="BodyText"/>
              <w:jc w:val="center"/>
              <w:rPr>
                <w:sz w:val="22"/>
                <w:szCs w:val="22"/>
              </w:rPr>
            </w:pPr>
            <w:r w:rsidRPr="00D33A0B">
              <w:rPr>
                <w:sz w:val="22"/>
                <w:szCs w:val="22"/>
              </w:rPr>
              <w:t>4.31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4.31</w:t>
            </w:r>
          </w:p>
        </w:tc>
        <w:tc>
          <w:tcPr>
            <w:tcW w:w="756" w:type="dxa"/>
          </w:tcPr>
          <w:p w:rsidR="00FF46A6" w:rsidRPr="00D33A0B" w:rsidRDefault="00FF46A6" w:rsidP="003D326F">
            <w:pPr>
              <w:pStyle w:val="BodyText"/>
              <w:jc w:val="center"/>
              <w:rPr>
                <w:sz w:val="22"/>
                <w:szCs w:val="22"/>
              </w:rPr>
            </w:pPr>
            <w:r w:rsidRPr="00D33A0B">
              <w:rPr>
                <w:sz w:val="22"/>
                <w:szCs w:val="22"/>
              </w:rPr>
              <w:t>4.20</w:t>
            </w:r>
          </w:p>
        </w:tc>
        <w:tc>
          <w:tcPr>
            <w:tcW w:w="756" w:type="dxa"/>
          </w:tcPr>
          <w:p w:rsidR="00FF46A6" w:rsidRPr="00D33A0B" w:rsidRDefault="00FF46A6" w:rsidP="003D326F">
            <w:pPr>
              <w:pStyle w:val="BodyText"/>
              <w:jc w:val="center"/>
              <w:rPr>
                <w:sz w:val="22"/>
                <w:szCs w:val="22"/>
              </w:rPr>
            </w:pPr>
            <w:r w:rsidRPr="00D33A0B">
              <w:rPr>
                <w:sz w:val="22"/>
                <w:szCs w:val="22"/>
              </w:rPr>
              <w:t>4.14</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4.33</w:t>
            </w:r>
          </w:p>
        </w:tc>
        <w:tc>
          <w:tcPr>
            <w:tcW w:w="756" w:type="dxa"/>
          </w:tcPr>
          <w:p w:rsidR="00FF46A6" w:rsidRPr="00D33A0B" w:rsidRDefault="00FF46A6" w:rsidP="003D326F">
            <w:pPr>
              <w:pStyle w:val="BodyText"/>
              <w:jc w:val="center"/>
              <w:rPr>
                <w:sz w:val="22"/>
                <w:szCs w:val="22"/>
              </w:rPr>
            </w:pPr>
            <w:r w:rsidRPr="00D33A0B">
              <w:rPr>
                <w:sz w:val="22"/>
                <w:szCs w:val="22"/>
              </w:rPr>
              <w:t>4.20</w:t>
            </w:r>
          </w:p>
        </w:tc>
        <w:tc>
          <w:tcPr>
            <w:tcW w:w="756" w:type="dxa"/>
          </w:tcPr>
          <w:p w:rsidR="00FF46A6" w:rsidRPr="00D33A0B" w:rsidRDefault="00FF46A6" w:rsidP="003D326F">
            <w:pPr>
              <w:pStyle w:val="BodyText"/>
              <w:jc w:val="center"/>
              <w:rPr>
                <w:sz w:val="22"/>
                <w:szCs w:val="22"/>
              </w:rPr>
            </w:pPr>
            <w:r w:rsidRPr="00D33A0B">
              <w:rPr>
                <w:sz w:val="22"/>
                <w:szCs w:val="22"/>
              </w:rPr>
              <w:t>4.32</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4.34</w:t>
            </w:r>
          </w:p>
        </w:tc>
        <w:tc>
          <w:tcPr>
            <w:tcW w:w="803" w:type="dxa"/>
          </w:tcPr>
          <w:p w:rsidR="00FF46A6" w:rsidRPr="00D33A0B" w:rsidRDefault="00FF46A6" w:rsidP="003D326F">
            <w:pPr>
              <w:pStyle w:val="BodyText"/>
              <w:jc w:val="center"/>
              <w:rPr>
                <w:sz w:val="22"/>
                <w:szCs w:val="22"/>
              </w:rPr>
            </w:pPr>
            <w:r w:rsidRPr="00D33A0B">
              <w:rPr>
                <w:sz w:val="22"/>
                <w:szCs w:val="22"/>
              </w:rPr>
              <w:t>4.41</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4.40</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8.</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4.32</w:t>
            </w:r>
          </w:p>
        </w:tc>
        <w:tc>
          <w:tcPr>
            <w:tcW w:w="803" w:type="dxa"/>
          </w:tcPr>
          <w:p w:rsidR="00FF46A6" w:rsidRPr="00D33A0B" w:rsidRDefault="00FF46A6" w:rsidP="003D326F">
            <w:pPr>
              <w:pStyle w:val="BodyText"/>
              <w:jc w:val="center"/>
              <w:rPr>
                <w:sz w:val="22"/>
                <w:szCs w:val="22"/>
              </w:rPr>
            </w:pPr>
            <w:r w:rsidRPr="00D33A0B">
              <w:rPr>
                <w:sz w:val="22"/>
                <w:szCs w:val="22"/>
              </w:rPr>
              <w:t>4.22</w:t>
            </w:r>
          </w:p>
        </w:tc>
        <w:tc>
          <w:tcPr>
            <w:tcW w:w="803" w:type="dxa"/>
          </w:tcPr>
          <w:p w:rsidR="00FF46A6" w:rsidRPr="00D33A0B" w:rsidRDefault="00FF46A6" w:rsidP="003D326F">
            <w:pPr>
              <w:pStyle w:val="BodyText"/>
              <w:jc w:val="center"/>
              <w:rPr>
                <w:sz w:val="22"/>
                <w:szCs w:val="22"/>
              </w:rPr>
            </w:pPr>
            <w:r w:rsidRPr="00D33A0B">
              <w:rPr>
                <w:sz w:val="22"/>
                <w:szCs w:val="22"/>
              </w:rPr>
              <w:t>4.33</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4.28</w:t>
            </w:r>
          </w:p>
        </w:tc>
        <w:tc>
          <w:tcPr>
            <w:tcW w:w="756" w:type="dxa"/>
          </w:tcPr>
          <w:p w:rsidR="00FF46A6" w:rsidRPr="00D33A0B" w:rsidRDefault="00FF46A6" w:rsidP="003D326F">
            <w:pPr>
              <w:pStyle w:val="BodyText"/>
              <w:jc w:val="center"/>
              <w:rPr>
                <w:sz w:val="22"/>
                <w:szCs w:val="22"/>
              </w:rPr>
            </w:pPr>
            <w:r w:rsidRPr="00D33A0B">
              <w:rPr>
                <w:sz w:val="22"/>
                <w:szCs w:val="22"/>
              </w:rPr>
              <w:t>4.19</w:t>
            </w:r>
          </w:p>
        </w:tc>
        <w:tc>
          <w:tcPr>
            <w:tcW w:w="756" w:type="dxa"/>
          </w:tcPr>
          <w:p w:rsidR="00FF46A6" w:rsidRPr="00D33A0B" w:rsidRDefault="00FF46A6" w:rsidP="003D326F">
            <w:pPr>
              <w:pStyle w:val="BodyText"/>
              <w:jc w:val="center"/>
              <w:rPr>
                <w:sz w:val="22"/>
                <w:szCs w:val="22"/>
              </w:rPr>
            </w:pPr>
            <w:r w:rsidRPr="00D33A0B">
              <w:rPr>
                <w:sz w:val="22"/>
                <w:szCs w:val="22"/>
              </w:rPr>
              <w:t>4.13</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4.32</w:t>
            </w:r>
          </w:p>
        </w:tc>
        <w:tc>
          <w:tcPr>
            <w:tcW w:w="756" w:type="dxa"/>
          </w:tcPr>
          <w:p w:rsidR="00FF46A6" w:rsidRPr="00D33A0B" w:rsidRDefault="00FF46A6" w:rsidP="003D326F">
            <w:pPr>
              <w:pStyle w:val="BodyText"/>
              <w:jc w:val="center"/>
              <w:rPr>
                <w:sz w:val="22"/>
                <w:szCs w:val="22"/>
              </w:rPr>
            </w:pPr>
            <w:r w:rsidRPr="00D33A0B">
              <w:rPr>
                <w:sz w:val="22"/>
                <w:szCs w:val="22"/>
              </w:rPr>
              <w:t>4.16</w:t>
            </w:r>
          </w:p>
        </w:tc>
        <w:tc>
          <w:tcPr>
            <w:tcW w:w="756" w:type="dxa"/>
          </w:tcPr>
          <w:p w:rsidR="00FF46A6" w:rsidRPr="00D33A0B" w:rsidRDefault="00FF46A6" w:rsidP="003D326F">
            <w:pPr>
              <w:pStyle w:val="BodyText"/>
              <w:jc w:val="center"/>
              <w:rPr>
                <w:sz w:val="22"/>
                <w:szCs w:val="22"/>
              </w:rPr>
            </w:pPr>
            <w:r w:rsidRPr="00D33A0B">
              <w:rPr>
                <w:sz w:val="22"/>
                <w:szCs w:val="22"/>
              </w:rPr>
              <w:t>4.33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4.36</w:t>
            </w:r>
          </w:p>
        </w:tc>
        <w:tc>
          <w:tcPr>
            <w:tcW w:w="803" w:type="dxa"/>
          </w:tcPr>
          <w:p w:rsidR="00FF46A6" w:rsidRPr="00D33A0B" w:rsidRDefault="00FF46A6" w:rsidP="003D326F">
            <w:pPr>
              <w:pStyle w:val="BodyText"/>
              <w:jc w:val="center"/>
              <w:rPr>
                <w:sz w:val="22"/>
                <w:szCs w:val="22"/>
              </w:rPr>
            </w:pPr>
            <w:r w:rsidRPr="00D33A0B">
              <w:rPr>
                <w:sz w:val="22"/>
                <w:szCs w:val="22"/>
              </w:rPr>
              <w:t>4.31</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4.53</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9.</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4.26</w:t>
            </w:r>
          </w:p>
        </w:tc>
        <w:tc>
          <w:tcPr>
            <w:tcW w:w="803" w:type="dxa"/>
          </w:tcPr>
          <w:p w:rsidR="00FF46A6" w:rsidRPr="00D33A0B" w:rsidRDefault="00FF46A6" w:rsidP="003D326F">
            <w:pPr>
              <w:pStyle w:val="BodyText"/>
              <w:jc w:val="center"/>
              <w:rPr>
                <w:sz w:val="22"/>
                <w:szCs w:val="22"/>
              </w:rPr>
            </w:pPr>
            <w:r w:rsidRPr="00D33A0B">
              <w:rPr>
                <w:sz w:val="22"/>
                <w:szCs w:val="22"/>
              </w:rPr>
              <w:t>4.19</w:t>
            </w:r>
          </w:p>
        </w:tc>
        <w:tc>
          <w:tcPr>
            <w:tcW w:w="803" w:type="dxa"/>
          </w:tcPr>
          <w:p w:rsidR="00FF46A6" w:rsidRPr="00D33A0B" w:rsidRDefault="00FF46A6" w:rsidP="003D326F">
            <w:pPr>
              <w:pStyle w:val="BodyText"/>
              <w:jc w:val="center"/>
              <w:rPr>
                <w:sz w:val="22"/>
                <w:szCs w:val="22"/>
              </w:rPr>
            </w:pPr>
            <w:r w:rsidRPr="00D33A0B">
              <w:rPr>
                <w:sz w:val="22"/>
                <w:szCs w:val="22"/>
              </w:rPr>
              <w:t>4.22</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4.24</w:t>
            </w:r>
          </w:p>
        </w:tc>
        <w:tc>
          <w:tcPr>
            <w:tcW w:w="756" w:type="dxa"/>
          </w:tcPr>
          <w:p w:rsidR="00FF46A6" w:rsidRPr="00D33A0B" w:rsidRDefault="00FF46A6" w:rsidP="003D326F">
            <w:pPr>
              <w:pStyle w:val="BodyText"/>
              <w:jc w:val="center"/>
              <w:rPr>
                <w:sz w:val="22"/>
                <w:szCs w:val="22"/>
              </w:rPr>
            </w:pPr>
            <w:r w:rsidRPr="00D33A0B">
              <w:rPr>
                <w:sz w:val="22"/>
                <w:szCs w:val="22"/>
              </w:rPr>
              <w:t>4.14</w:t>
            </w:r>
          </w:p>
        </w:tc>
        <w:tc>
          <w:tcPr>
            <w:tcW w:w="756" w:type="dxa"/>
          </w:tcPr>
          <w:p w:rsidR="00FF46A6" w:rsidRPr="00D33A0B" w:rsidRDefault="00FF46A6" w:rsidP="003D326F">
            <w:pPr>
              <w:pStyle w:val="BodyText"/>
              <w:jc w:val="center"/>
              <w:rPr>
                <w:sz w:val="22"/>
                <w:szCs w:val="22"/>
              </w:rPr>
            </w:pPr>
            <w:r w:rsidRPr="00D33A0B">
              <w:rPr>
                <w:sz w:val="22"/>
                <w:szCs w:val="22"/>
              </w:rPr>
              <w:t>4.08</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4.21</w:t>
            </w:r>
          </w:p>
        </w:tc>
        <w:tc>
          <w:tcPr>
            <w:tcW w:w="756" w:type="dxa"/>
          </w:tcPr>
          <w:p w:rsidR="00FF46A6" w:rsidRPr="00D33A0B" w:rsidRDefault="00FF46A6" w:rsidP="003D326F">
            <w:pPr>
              <w:pStyle w:val="BodyText"/>
              <w:jc w:val="center"/>
              <w:rPr>
                <w:sz w:val="22"/>
                <w:szCs w:val="22"/>
              </w:rPr>
            </w:pPr>
            <w:r w:rsidRPr="00D33A0B">
              <w:rPr>
                <w:sz w:val="22"/>
                <w:szCs w:val="22"/>
              </w:rPr>
              <w:t>4.08</w:t>
            </w:r>
          </w:p>
        </w:tc>
        <w:tc>
          <w:tcPr>
            <w:tcW w:w="756" w:type="dxa"/>
          </w:tcPr>
          <w:p w:rsidR="00FF46A6" w:rsidRPr="00D33A0B" w:rsidRDefault="00FF46A6" w:rsidP="003D326F">
            <w:pPr>
              <w:pStyle w:val="BodyText"/>
              <w:jc w:val="center"/>
              <w:rPr>
                <w:sz w:val="22"/>
                <w:szCs w:val="22"/>
              </w:rPr>
            </w:pPr>
            <w:r w:rsidRPr="00D33A0B">
              <w:rPr>
                <w:sz w:val="22"/>
                <w:szCs w:val="22"/>
              </w:rPr>
              <w:t>4.21</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4.32</w:t>
            </w:r>
          </w:p>
        </w:tc>
        <w:tc>
          <w:tcPr>
            <w:tcW w:w="803" w:type="dxa"/>
          </w:tcPr>
          <w:p w:rsidR="00FF46A6" w:rsidRPr="00D33A0B" w:rsidRDefault="00FF46A6" w:rsidP="003D326F">
            <w:pPr>
              <w:pStyle w:val="BodyText"/>
              <w:jc w:val="center"/>
              <w:rPr>
                <w:sz w:val="22"/>
                <w:szCs w:val="22"/>
              </w:rPr>
            </w:pPr>
            <w:r w:rsidRPr="00D33A0B">
              <w:rPr>
                <w:sz w:val="22"/>
                <w:szCs w:val="22"/>
              </w:rPr>
              <w:t>4.34</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4.38</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10.</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4.20</w:t>
            </w:r>
          </w:p>
        </w:tc>
        <w:tc>
          <w:tcPr>
            <w:tcW w:w="803" w:type="dxa"/>
          </w:tcPr>
          <w:p w:rsidR="00FF46A6" w:rsidRPr="00D33A0B" w:rsidRDefault="00FF46A6" w:rsidP="003D326F">
            <w:pPr>
              <w:pStyle w:val="BodyText"/>
              <w:jc w:val="center"/>
              <w:rPr>
                <w:sz w:val="22"/>
                <w:szCs w:val="22"/>
              </w:rPr>
            </w:pPr>
            <w:r w:rsidRPr="00D33A0B">
              <w:rPr>
                <w:sz w:val="22"/>
                <w:szCs w:val="22"/>
              </w:rPr>
              <w:t>4.16</w:t>
            </w:r>
          </w:p>
        </w:tc>
        <w:tc>
          <w:tcPr>
            <w:tcW w:w="803" w:type="dxa"/>
          </w:tcPr>
          <w:p w:rsidR="00FF46A6" w:rsidRPr="00D33A0B" w:rsidRDefault="00FF46A6" w:rsidP="003D326F">
            <w:pPr>
              <w:pStyle w:val="BodyText"/>
              <w:jc w:val="center"/>
              <w:rPr>
                <w:sz w:val="22"/>
                <w:szCs w:val="22"/>
              </w:rPr>
            </w:pPr>
            <w:r w:rsidRPr="00D33A0B">
              <w:rPr>
                <w:sz w:val="22"/>
                <w:szCs w:val="22"/>
              </w:rPr>
              <w:t>4.21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4.12</w:t>
            </w:r>
          </w:p>
        </w:tc>
        <w:tc>
          <w:tcPr>
            <w:tcW w:w="756" w:type="dxa"/>
          </w:tcPr>
          <w:p w:rsidR="00FF46A6" w:rsidRPr="00D33A0B" w:rsidRDefault="00FF46A6" w:rsidP="003D326F">
            <w:pPr>
              <w:pStyle w:val="BodyText"/>
              <w:jc w:val="center"/>
              <w:rPr>
                <w:sz w:val="22"/>
                <w:szCs w:val="22"/>
              </w:rPr>
            </w:pPr>
            <w:r w:rsidRPr="00D33A0B">
              <w:rPr>
                <w:sz w:val="22"/>
                <w:szCs w:val="22"/>
              </w:rPr>
              <w:t>4.06</w:t>
            </w:r>
          </w:p>
        </w:tc>
        <w:tc>
          <w:tcPr>
            <w:tcW w:w="756" w:type="dxa"/>
          </w:tcPr>
          <w:p w:rsidR="00FF46A6" w:rsidRPr="00D33A0B" w:rsidRDefault="00FF46A6" w:rsidP="003D326F">
            <w:pPr>
              <w:pStyle w:val="BodyText"/>
              <w:jc w:val="center"/>
              <w:rPr>
                <w:sz w:val="22"/>
                <w:szCs w:val="22"/>
              </w:rPr>
            </w:pPr>
            <w:r w:rsidRPr="00D33A0B">
              <w:rPr>
                <w:sz w:val="22"/>
                <w:szCs w:val="22"/>
              </w:rPr>
              <w:t>4.02</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4.12</w:t>
            </w:r>
          </w:p>
        </w:tc>
        <w:tc>
          <w:tcPr>
            <w:tcW w:w="756" w:type="dxa"/>
          </w:tcPr>
          <w:p w:rsidR="00FF46A6" w:rsidRPr="00D33A0B" w:rsidRDefault="00FF46A6" w:rsidP="003D326F">
            <w:pPr>
              <w:pStyle w:val="BodyText"/>
              <w:jc w:val="center"/>
              <w:rPr>
                <w:sz w:val="22"/>
                <w:szCs w:val="22"/>
              </w:rPr>
            </w:pPr>
            <w:r w:rsidRPr="00D33A0B">
              <w:rPr>
                <w:sz w:val="22"/>
                <w:szCs w:val="22"/>
              </w:rPr>
              <w:t>4.05</w:t>
            </w:r>
          </w:p>
        </w:tc>
        <w:tc>
          <w:tcPr>
            <w:tcW w:w="756" w:type="dxa"/>
          </w:tcPr>
          <w:p w:rsidR="00FF46A6" w:rsidRPr="00D33A0B" w:rsidRDefault="00FF46A6" w:rsidP="003D326F">
            <w:pPr>
              <w:pStyle w:val="BodyText"/>
              <w:jc w:val="center"/>
              <w:rPr>
                <w:sz w:val="22"/>
                <w:szCs w:val="22"/>
              </w:rPr>
            </w:pPr>
            <w:r w:rsidRPr="00D33A0B">
              <w:rPr>
                <w:sz w:val="22"/>
                <w:szCs w:val="22"/>
              </w:rPr>
              <w:t>4.26</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4.36</w:t>
            </w:r>
          </w:p>
        </w:tc>
        <w:tc>
          <w:tcPr>
            <w:tcW w:w="803" w:type="dxa"/>
          </w:tcPr>
          <w:p w:rsidR="00FF46A6" w:rsidRPr="00D33A0B" w:rsidRDefault="00FF46A6" w:rsidP="003D326F">
            <w:pPr>
              <w:pStyle w:val="BodyText"/>
              <w:jc w:val="center"/>
              <w:rPr>
                <w:sz w:val="22"/>
                <w:szCs w:val="22"/>
              </w:rPr>
            </w:pPr>
            <w:r w:rsidRPr="00D33A0B">
              <w:rPr>
                <w:sz w:val="22"/>
                <w:szCs w:val="22"/>
              </w:rPr>
              <w:t>4.36</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4.36</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11.</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4.40</w:t>
            </w:r>
          </w:p>
        </w:tc>
        <w:tc>
          <w:tcPr>
            <w:tcW w:w="803" w:type="dxa"/>
          </w:tcPr>
          <w:p w:rsidR="00FF46A6" w:rsidRPr="00D33A0B" w:rsidRDefault="00FF46A6" w:rsidP="003D326F">
            <w:pPr>
              <w:pStyle w:val="BodyText"/>
              <w:jc w:val="center"/>
              <w:rPr>
                <w:sz w:val="22"/>
                <w:szCs w:val="22"/>
              </w:rPr>
            </w:pPr>
            <w:r w:rsidRPr="00D33A0B">
              <w:rPr>
                <w:sz w:val="22"/>
                <w:szCs w:val="22"/>
              </w:rPr>
              <w:t>4.23</w:t>
            </w:r>
          </w:p>
        </w:tc>
        <w:tc>
          <w:tcPr>
            <w:tcW w:w="803" w:type="dxa"/>
          </w:tcPr>
          <w:p w:rsidR="00FF46A6" w:rsidRPr="00D33A0B" w:rsidRDefault="00FF46A6" w:rsidP="003D326F">
            <w:pPr>
              <w:pStyle w:val="BodyText"/>
              <w:jc w:val="center"/>
              <w:rPr>
                <w:sz w:val="22"/>
                <w:szCs w:val="22"/>
              </w:rPr>
            </w:pPr>
            <w:r w:rsidRPr="00D33A0B">
              <w:rPr>
                <w:sz w:val="22"/>
                <w:szCs w:val="22"/>
              </w:rPr>
              <w:t>4.39</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4.40</w:t>
            </w:r>
          </w:p>
        </w:tc>
        <w:tc>
          <w:tcPr>
            <w:tcW w:w="756" w:type="dxa"/>
          </w:tcPr>
          <w:p w:rsidR="00FF46A6" w:rsidRPr="00D33A0B" w:rsidRDefault="00FF46A6" w:rsidP="003D326F">
            <w:pPr>
              <w:pStyle w:val="BodyText"/>
              <w:jc w:val="center"/>
              <w:rPr>
                <w:sz w:val="22"/>
                <w:szCs w:val="22"/>
              </w:rPr>
            </w:pPr>
            <w:r w:rsidRPr="00D33A0B">
              <w:rPr>
                <w:sz w:val="22"/>
                <w:szCs w:val="22"/>
              </w:rPr>
              <w:t>4.18</w:t>
            </w:r>
          </w:p>
        </w:tc>
        <w:tc>
          <w:tcPr>
            <w:tcW w:w="756" w:type="dxa"/>
          </w:tcPr>
          <w:p w:rsidR="00FF46A6" w:rsidRPr="00D33A0B" w:rsidRDefault="00FF46A6" w:rsidP="003D326F">
            <w:pPr>
              <w:pStyle w:val="BodyText"/>
              <w:jc w:val="center"/>
              <w:rPr>
                <w:sz w:val="22"/>
                <w:szCs w:val="22"/>
              </w:rPr>
            </w:pPr>
            <w:r w:rsidRPr="00D33A0B">
              <w:rPr>
                <w:sz w:val="22"/>
                <w:szCs w:val="22"/>
              </w:rPr>
              <w:t>4.19</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4.34</w:t>
            </w:r>
          </w:p>
        </w:tc>
        <w:tc>
          <w:tcPr>
            <w:tcW w:w="756" w:type="dxa"/>
          </w:tcPr>
          <w:p w:rsidR="00FF46A6" w:rsidRPr="00D33A0B" w:rsidRDefault="00FF46A6" w:rsidP="003D326F">
            <w:pPr>
              <w:pStyle w:val="BodyText"/>
              <w:jc w:val="center"/>
              <w:rPr>
                <w:sz w:val="22"/>
                <w:szCs w:val="22"/>
              </w:rPr>
            </w:pPr>
            <w:r w:rsidRPr="00D33A0B">
              <w:rPr>
                <w:sz w:val="22"/>
                <w:szCs w:val="22"/>
              </w:rPr>
              <w:t>4.16</w:t>
            </w:r>
          </w:p>
        </w:tc>
        <w:tc>
          <w:tcPr>
            <w:tcW w:w="756" w:type="dxa"/>
          </w:tcPr>
          <w:p w:rsidR="00FF46A6" w:rsidRPr="00D33A0B" w:rsidRDefault="00FF46A6" w:rsidP="003D326F">
            <w:pPr>
              <w:pStyle w:val="BodyText"/>
              <w:jc w:val="center"/>
              <w:rPr>
                <w:sz w:val="22"/>
                <w:szCs w:val="22"/>
              </w:rPr>
            </w:pPr>
            <w:r w:rsidRPr="00D33A0B">
              <w:rPr>
                <w:sz w:val="22"/>
                <w:szCs w:val="22"/>
              </w:rPr>
              <w:t>4.54</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4.46</w:t>
            </w:r>
          </w:p>
        </w:tc>
        <w:tc>
          <w:tcPr>
            <w:tcW w:w="803" w:type="dxa"/>
          </w:tcPr>
          <w:p w:rsidR="00FF46A6" w:rsidRPr="00D33A0B" w:rsidRDefault="00FF46A6" w:rsidP="003D326F">
            <w:pPr>
              <w:pStyle w:val="BodyText"/>
              <w:jc w:val="center"/>
              <w:rPr>
                <w:sz w:val="22"/>
                <w:szCs w:val="22"/>
              </w:rPr>
            </w:pPr>
            <w:r w:rsidRPr="00D33A0B">
              <w:rPr>
                <w:sz w:val="22"/>
                <w:szCs w:val="22"/>
              </w:rPr>
              <w:t>4.34</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4.45</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12.</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4.18</w:t>
            </w:r>
          </w:p>
        </w:tc>
        <w:tc>
          <w:tcPr>
            <w:tcW w:w="803" w:type="dxa"/>
          </w:tcPr>
          <w:p w:rsidR="00FF46A6" w:rsidRPr="00D33A0B" w:rsidRDefault="00FF46A6" w:rsidP="003D326F">
            <w:pPr>
              <w:pStyle w:val="BodyText"/>
              <w:jc w:val="center"/>
              <w:rPr>
                <w:sz w:val="22"/>
                <w:szCs w:val="22"/>
              </w:rPr>
            </w:pPr>
            <w:r w:rsidRPr="00D33A0B">
              <w:rPr>
                <w:sz w:val="22"/>
                <w:szCs w:val="22"/>
              </w:rPr>
              <w:t>4.03</w:t>
            </w:r>
          </w:p>
        </w:tc>
        <w:tc>
          <w:tcPr>
            <w:tcW w:w="803" w:type="dxa"/>
          </w:tcPr>
          <w:p w:rsidR="00FF46A6" w:rsidRPr="00D33A0B" w:rsidRDefault="00FF46A6" w:rsidP="003D326F">
            <w:pPr>
              <w:pStyle w:val="BodyText"/>
              <w:jc w:val="center"/>
              <w:rPr>
                <w:sz w:val="22"/>
                <w:szCs w:val="22"/>
              </w:rPr>
            </w:pPr>
            <w:r w:rsidRPr="00D33A0B">
              <w:rPr>
                <w:sz w:val="22"/>
                <w:szCs w:val="22"/>
              </w:rPr>
              <w:t>4.10</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4.24</w:t>
            </w:r>
          </w:p>
        </w:tc>
        <w:tc>
          <w:tcPr>
            <w:tcW w:w="756" w:type="dxa"/>
          </w:tcPr>
          <w:p w:rsidR="00FF46A6" w:rsidRPr="00D33A0B" w:rsidRDefault="00FF46A6" w:rsidP="003D326F">
            <w:pPr>
              <w:pStyle w:val="BodyText"/>
              <w:jc w:val="center"/>
              <w:rPr>
                <w:sz w:val="22"/>
                <w:szCs w:val="22"/>
              </w:rPr>
            </w:pPr>
            <w:r w:rsidRPr="00D33A0B">
              <w:rPr>
                <w:sz w:val="22"/>
                <w:szCs w:val="22"/>
              </w:rPr>
              <w:t>3.97</w:t>
            </w:r>
          </w:p>
        </w:tc>
        <w:tc>
          <w:tcPr>
            <w:tcW w:w="756" w:type="dxa"/>
          </w:tcPr>
          <w:p w:rsidR="00FF46A6" w:rsidRPr="00D33A0B" w:rsidRDefault="00FF46A6" w:rsidP="003D326F">
            <w:pPr>
              <w:pStyle w:val="BodyText"/>
              <w:jc w:val="center"/>
              <w:rPr>
                <w:sz w:val="22"/>
                <w:szCs w:val="22"/>
              </w:rPr>
            </w:pPr>
            <w:r w:rsidRPr="00D33A0B">
              <w:rPr>
                <w:sz w:val="22"/>
                <w:szCs w:val="22"/>
              </w:rPr>
              <w:t>3.87</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4.19</w:t>
            </w:r>
          </w:p>
        </w:tc>
        <w:tc>
          <w:tcPr>
            <w:tcW w:w="756" w:type="dxa"/>
          </w:tcPr>
          <w:p w:rsidR="00FF46A6" w:rsidRPr="00D33A0B" w:rsidRDefault="00FF46A6" w:rsidP="003D326F">
            <w:pPr>
              <w:pStyle w:val="BodyText"/>
              <w:jc w:val="center"/>
              <w:rPr>
                <w:sz w:val="22"/>
                <w:szCs w:val="22"/>
              </w:rPr>
            </w:pPr>
            <w:r w:rsidRPr="00D33A0B">
              <w:rPr>
                <w:sz w:val="22"/>
                <w:szCs w:val="22"/>
              </w:rPr>
              <w:t>3.93</w:t>
            </w:r>
          </w:p>
        </w:tc>
        <w:tc>
          <w:tcPr>
            <w:tcW w:w="756" w:type="dxa"/>
          </w:tcPr>
          <w:p w:rsidR="00FF46A6" w:rsidRPr="00D33A0B" w:rsidRDefault="00FF46A6" w:rsidP="003D326F">
            <w:pPr>
              <w:pStyle w:val="BodyText"/>
              <w:jc w:val="center"/>
              <w:rPr>
                <w:sz w:val="22"/>
                <w:szCs w:val="22"/>
              </w:rPr>
            </w:pPr>
            <w:r w:rsidRPr="00D33A0B">
              <w:rPr>
                <w:sz w:val="22"/>
                <w:szCs w:val="22"/>
              </w:rPr>
              <w:t>4.24</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4.12</w:t>
            </w:r>
          </w:p>
        </w:tc>
        <w:tc>
          <w:tcPr>
            <w:tcW w:w="803" w:type="dxa"/>
          </w:tcPr>
          <w:p w:rsidR="00FF46A6" w:rsidRPr="00D33A0B" w:rsidRDefault="00FF46A6" w:rsidP="003D326F">
            <w:pPr>
              <w:pStyle w:val="BodyText"/>
              <w:jc w:val="center"/>
              <w:rPr>
                <w:sz w:val="22"/>
                <w:szCs w:val="22"/>
              </w:rPr>
            </w:pPr>
            <w:r w:rsidRPr="00D33A0B">
              <w:rPr>
                <w:sz w:val="22"/>
                <w:szCs w:val="22"/>
              </w:rPr>
              <w:t>4.19</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4.18</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4.00</w:t>
            </w:r>
          </w:p>
        </w:tc>
        <w:tc>
          <w:tcPr>
            <w:tcW w:w="803" w:type="dxa"/>
          </w:tcPr>
          <w:p w:rsidR="00FF46A6" w:rsidRPr="00D33A0B" w:rsidRDefault="00FF46A6" w:rsidP="003D326F">
            <w:pPr>
              <w:pStyle w:val="BodyText"/>
              <w:jc w:val="center"/>
              <w:rPr>
                <w:sz w:val="22"/>
                <w:szCs w:val="22"/>
              </w:rPr>
            </w:pPr>
            <w:r w:rsidRPr="00D33A0B">
              <w:rPr>
                <w:sz w:val="22"/>
                <w:szCs w:val="22"/>
              </w:rPr>
              <w:t>3.80</w:t>
            </w:r>
          </w:p>
        </w:tc>
        <w:tc>
          <w:tcPr>
            <w:tcW w:w="803" w:type="dxa"/>
          </w:tcPr>
          <w:p w:rsidR="00FF46A6" w:rsidRPr="00D33A0B" w:rsidRDefault="00FF46A6" w:rsidP="003D326F">
            <w:pPr>
              <w:pStyle w:val="BodyText"/>
              <w:jc w:val="center"/>
              <w:rPr>
                <w:sz w:val="22"/>
                <w:szCs w:val="22"/>
              </w:rPr>
            </w:pPr>
            <w:r w:rsidRPr="00D33A0B">
              <w:rPr>
                <w:sz w:val="22"/>
                <w:szCs w:val="22"/>
              </w:rPr>
              <w:t>3.89</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3.96</w:t>
            </w:r>
          </w:p>
        </w:tc>
        <w:tc>
          <w:tcPr>
            <w:tcW w:w="756" w:type="dxa"/>
          </w:tcPr>
          <w:p w:rsidR="00FF46A6" w:rsidRPr="00D33A0B" w:rsidRDefault="00FF46A6" w:rsidP="003D326F">
            <w:pPr>
              <w:pStyle w:val="BodyText"/>
              <w:jc w:val="center"/>
              <w:rPr>
                <w:sz w:val="22"/>
                <w:szCs w:val="22"/>
              </w:rPr>
            </w:pPr>
            <w:r w:rsidRPr="00D33A0B">
              <w:rPr>
                <w:sz w:val="22"/>
                <w:szCs w:val="22"/>
              </w:rPr>
              <w:t>3.74</w:t>
            </w:r>
          </w:p>
        </w:tc>
        <w:tc>
          <w:tcPr>
            <w:tcW w:w="756" w:type="dxa"/>
          </w:tcPr>
          <w:p w:rsidR="00FF46A6" w:rsidRPr="00D33A0B" w:rsidRDefault="00FF46A6" w:rsidP="003D326F">
            <w:pPr>
              <w:pStyle w:val="BodyText"/>
              <w:jc w:val="center"/>
              <w:rPr>
                <w:sz w:val="22"/>
                <w:szCs w:val="22"/>
              </w:rPr>
            </w:pPr>
            <w:r w:rsidRPr="00D33A0B">
              <w:rPr>
                <w:sz w:val="22"/>
                <w:szCs w:val="22"/>
              </w:rPr>
              <w:t>3.69</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4.04</w:t>
            </w:r>
          </w:p>
        </w:tc>
        <w:tc>
          <w:tcPr>
            <w:tcW w:w="756" w:type="dxa"/>
          </w:tcPr>
          <w:p w:rsidR="00FF46A6" w:rsidRPr="00D33A0B" w:rsidRDefault="00FF46A6" w:rsidP="003D326F">
            <w:pPr>
              <w:pStyle w:val="BodyText"/>
              <w:jc w:val="center"/>
              <w:rPr>
                <w:sz w:val="22"/>
                <w:szCs w:val="22"/>
              </w:rPr>
            </w:pPr>
            <w:r w:rsidRPr="00D33A0B">
              <w:rPr>
                <w:sz w:val="22"/>
                <w:szCs w:val="22"/>
              </w:rPr>
              <w:t>3.72</w:t>
            </w:r>
          </w:p>
        </w:tc>
        <w:tc>
          <w:tcPr>
            <w:tcW w:w="756" w:type="dxa"/>
          </w:tcPr>
          <w:p w:rsidR="00FF46A6" w:rsidRPr="00D33A0B" w:rsidRDefault="00FF46A6" w:rsidP="003D326F">
            <w:pPr>
              <w:pStyle w:val="BodyText"/>
              <w:jc w:val="center"/>
              <w:rPr>
                <w:sz w:val="22"/>
                <w:szCs w:val="22"/>
              </w:rPr>
            </w:pPr>
            <w:r w:rsidRPr="00D33A0B">
              <w:rPr>
                <w:sz w:val="22"/>
                <w:szCs w:val="22"/>
              </w:rPr>
              <w:t>3.96</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3.99</w:t>
            </w:r>
          </w:p>
        </w:tc>
        <w:tc>
          <w:tcPr>
            <w:tcW w:w="803" w:type="dxa"/>
          </w:tcPr>
          <w:p w:rsidR="00FF46A6" w:rsidRPr="00D33A0B" w:rsidRDefault="00FF46A6" w:rsidP="003D326F">
            <w:pPr>
              <w:pStyle w:val="BodyText"/>
              <w:jc w:val="center"/>
              <w:rPr>
                <w:sz w:val="22"/>
                <w:szCs w:val="22"/>
              </w:rPr>
            </w:pPr>
            <w:r w:rsidRPr="00D33A0B">
              <w:rPr>
                <w:sz w:val="22"/>
                <w:szCs w:val="22"/>
              </w:rPr>
              <w:t>3.95</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4.03</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14.</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4.12</w:t>
            </w:r>
          </w:p>
        </w:tc>
        <w:tc>
          <w:tcPr>
            <w:tcW w:w="803" w:type="dxa"/>
          </w:tcPr>
          <w:p w:rsidR="00FF46A6" w:rsidRPr="00D33A0B" w:rsidRDefault="00FF46A6" w:rsidP="003D326F">
            <w:pPr>
              <w:pStyle w:val="BodyText"/>
              <w:jc w:val="center"/>
              <w:rPr>
                <w:sz w:val="22"/>
                <w:szCs w:val="22"/>
              </w:rPr>
            </w:pPr>
            <w:r w:rsidRPr="00D33A0B">
              <w:rPr>
                <w:sz w:val="22"/>
                <w:szCs w:val="22"/>
              </w:rPr>
              <w:t>4.01</w:t>
            </w:r>
          </w:p>
        </w:tc>
        <w:tc>
          <w:tcPr>
            <w:tcW w:w="803" w:type="dxa"/>
          </w:tcPr>
          <w:p w:rsidR="00FF46A6" w:rsidRPr="00D33A0B" w:rsidRDefault="00FF46A6" w:rsidP="003D326F">
            <w:pPr>
              <w:pStyle w:val="BodyText"/>
              <w:jc w:val="center"/>
              <w:rPr>
                <w:sz w:val="22"/>
                <w:szCs w:val="22"/>
              </w:rPr>
            </w:pPr>
            <w:r w:rsidRPr="00D33A0B">
              <w:rPr>
                <w:sz w:val="22"/>
                <w:szCs w:val="22"/>
              </w:rPr>
              <w:t>3.94</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4.09</w:t>
            </w:r>
          </w:p>
        </w:tc>
        <w:tc>
          <w:tcPr>
            <w:tcW w:w="756" w:type="dxa"/>
          </w:tcPr>
          <w:p w:rsidR="00FF46A6" w:rsidRPr="00D33A0B" w:rsidRDefault="00FF46A6" w:rsidP="003D326F">
            <w:pPr>
              <w:pStyle w:val="BodyText"/>
              <w:jc w:val="center"/>
              <w:rPr>
                <w:sz w:val="22"/>
                <w:szCs w:val="22"/>
              </w:rPr>
            </w:pPr>
            <w:r w:rsidRPr="00D33A0B">
              <w:rPr>
                <w:sz w:val="22"/>
                <w:szCs w:val="22"/>
              </w:rPr>
              <w:t>3.96</w:t>
            </w:r>
          </w:p>
        </w:tc>
        <w:tc>
          <w:tcPr>
            <w:tcW w:w="756" w:type="dxa"/>
          </w:tcPr>
          <w:p w:rsidR="00FF46A6" w:rsidRPr="00D33A0B" w:rsidRDefault="00FF46A6" w:rsidP="003D326F">
            <w:pPr>
              <w:pStyle w:val="BodyText"/>
              <w:jc w:val="center"/>
              <w:rPr>
                <w:sz w:val="22"/>
                <w:szCs w:val="22"/>
              </w:rPr>
            </w:pPr>
            <w:r w:rsidRPr="00D33A0B">
              <w:rPr>
                <w:sz w:val="22"/>
                <w:szCs w:val="22"/>
              </w:rPr>
              <w:t>3.83</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4.19</w:t>
            </w:r>
          </w:p>
        </w:tc>
        <w:tc>
          <w:tcPr>
            <w:tcW w:w="756" w:type="dxa"/>
          </w:tcPr>
          <w:p w:rsidR="00FF46A6" w:rsidRPr="00D33A0B" w:rsidRDefault="00FF46A6" w:rsidP="003D326F">
            <w:pPr>
              <w:pStyle w:val="BodyText"/>
              <w:jc w:val="center"/>
              <w:rPr>
                <w:sz w:val="22"/>
                <w:szCs w:val="22"/>
              </w:rPr>
            </w:pPr>
            <w:r w:rsidRPr="00D33A0B">
              <w:rPr>
                <w:sz w:val="22"/>
                <w:szCs w:val="22"/>
              </w:rPr>
              <w:t>3.91</w:t>
            </w:r>
          </w:p>
        </w:tc>
        <w:tc>
          <w:tcPr>
            <w:tcW w:w="756" w:type="dxa"/>
          </w:tcPr>
          <w:p w:rsidR="00FF46A6" w:rsidRPr="00D33A0B" w:rsidRDefault="00FF46A6" w:rsidP="003D326F">
            <w:pPr>
              <w:pStyle w:val="BodyText"/>
              <w:jc w:val="center"/>
              <w:rPr>
                <w:sz w:val="22"/>
                <w:szCs w:val="22"/>
              </w:rPr>
            </w:pPr>
            <w:r w:rsidRPr="00D33A0B">
              <w:rPr>
                <w:sz w:val="22"/>
                <w:szCs w:val="22"/>
              </w:rPr>
              <w:t>3.95</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4.08</w:t>
            </w:r>
          </w:p>
        </w:tc>
        <w:tc>
          <w:tcPr>
            <w:tcW w:w="803" w:type="dxa"/>
          </w:tcPr>
          <w:p w:rsidR="00FF46A6" w:rsidRPr="00D33A0B" w:rsidRDefault="00FF46A6" w:rsidP="003D326F">
            <w:pPr>
              <w:pStyle w:val="BodyText"/>
              <w:jc w:val="center"/>
              <w:rPr>
                <w:sz w:val="22"/>
                <w:szCs w:val="22"/>
              </w:rPr>
            </w:pPr>
            <w:r w:rsidRPr="00D33A0B">
              <w:rPr>
                <w:sz w:val="22"/>
                <w:szCs w:val="22"/>
              </w:rPr>
              <w:t>4.17</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4.03</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15.</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4.05</w:t>
            </w:r>
          </w:p>
        </w:tc>
        <w:tc>
          <w:tcPr>
            <w:tcW w:w="803" w:type="dxa"/>
          </w:tcPr>
          <w:p w:rsidR="00FF46A6" w:rsidRPr="00D33A0B" w:rsidRDefault="00FF46A6" w:rsidP="003D326F">
            <w:pPr>
              <w:pStyle w:val="BodyText"/>
              <w:jc w:val="center"/>
              <w:rPr>
                <w:sz w:val="22"/>
                <w:szCs w:val="22"/>
              </w:rPr>
            </w:pPr>
            <w:r w:rsidRPr="00D33A0B">
              <w:rPr>
                <w:sz w:val="22"/>
                <w:szCs w:val="22"/>
              </w:rPr>
              <w:t>3.98</w:t>
            </w:r>
          </w:p>
        </w:tc>
        <w:tc>
          <w:tcPr>
            <w:tcW w:w="803" w:type="dxa"/>
          </w:tcPr>
          <w:p w:rsidR="00FF46A6" w:rsidRPr="00D33A0B" w:rsidRDefault="00FF46A6" w:rsidP="003D326F">
            <w:pPr>
              <w:pStyle w:val="BodyText"/>
              <w:jc w:val="center"/>
              <w:rPr>
                <w:sz w:val="22"/>
                <w:szCs w:val="22"/>
              </w:rPr>
            </w:pPr>
            <w:r w:rsidRPr="00D33A0B">
              <w:rPr>
                <w:sz w:val="22"/>
                <w:szCs w:val="22"/>
              </w:rPr>
              <w:t>3.82</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4.01</w:t>
            </w:r>
          </w:p>
        </w:tc>
        <w:tc>
          <w:tcPr>
            <w:tcW w:w="756" w:type="dxa"/>
          </w:tcPr>
          <w:p w:rsidR="00FF46A6" w:rsidRPr="00D33A0B" w:rsidRDefault="00FF46A6" w:rsidP="003D326F">
            <w:pPr>
              <w:pStyle w:val="BodyText"/>
              <w:jc w:val="center"/>
              <w:rPr>
                <w:sz w:val="22"/>
                <w:szCs w:val="22"/>
              </w:rPr>
            </w:pPr>
            <w:r w:rsidRPr="00D33A0B">
              <w:rPr>
                <w:sz w:val="22"/>
                <w:szCs w:val="22"/>
              </w:rPr>
              <w:t>3.89</w:t>
            </w:r>
          </w:p>
        </w:tc>
        <w:tc>
          <w:tcPr>
            <w:tcW w:w="756" w:type="dxa"/>
          </w:tcPr>
          <w:p w:rsidR="00FF46A6" w:rsidRPr="00D33A0B" w:rsidRDefault="00FF46A6" w:rsidP="003D326F">
            <w:pPr>
              <w:pStyle w:val="BodyText"/>
              <w:jc w:val="center"/>
              <w:rPr>
                <w:sz w:val="22"/>
                <w:szCs w:val="22"/>
              </w:rPr>
            </w:pPr>
            <w:r w:rsidRPr="00D33A0B">
              <w:rPr>
                <w:sz w:val="22"/>
                <w:szCs w:val="22"/>
              </w:rPr>
              <w:t>3.64</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4.03</w:t>
            </w:r>
          </w:p>
        </w:tc>
        <w:tc>
          <w:tcPr>
            <w:tcW w:w="756" w:type="dxa"/>
          </w:tcPr>
          <w:p w:rsidR="00FF46A6" w:rsidRPr="00D33A0B" w:rsidRDefault="00FF46A6" w:rsidP="003D326F">
            <w:pPr>
              <w:pStyle w:val="BodyText"/>
              <w:jc w:val="center"/>
              <w:rPr>
                <w:sz w:val="22"/>
                <w:szCs w:val="22"/>
              </w:rPr>
            </w:pPr>
            <w:r w:rsidRPr="00D33A0B">
              <w:rPr>
                <w:sz w:val="22"/>
                <w:szCs w:val="22"/>
              </w:rPr>
              <w:t>3.82</w:t>
            </w:r>
          </w:p>
        </w:tc>
        <w:tc>
          <w:tcPr>
            <w:tcW w:w="756" w:type="dxa"/>
          </w:tcPr>
          <w:p w:rsidR="00FF46A6" w:rsidRPr="00D33A0B" w:rsidRDefault="00FF46A6" w:rsidP="003D326F">
            <w:pPr>
              <w:pStyle w:val="BodyText"/>
              <w:jc w:val="center"/>
              <w:rPr>
                <w:sz w:val="22"/>
                <w:szCs w:val="22"/>
              </w:rPr>
            </w:pPr>
            <w:r w:rsidRPr="00D33A0B">
              <w:rPr>
                <w:sz w:val="22"/>
                <w:szCs w:val="22"/>
              </w:rPr>
              <w:t>3.81</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4.12</w:t>
            </w:r>
          </w:p>
        </w:tc>
        <w:tc>
          <w:tcPr>
            <w:tcW w:w="803" w:type="dxa"/>
          </w:tcPr>
          <w:p w:rsidR="00FF46A6" w:rsidRPr="00D33A0B" w:rsidRDefault="00FF46A6" w:rsidP="003D326F">
            <w:pPr>
              <w:pStyle w:val="BodyText"/>
              <w:jc w:val="center"/>
              <w:rPr>
                <w:sz w:val="22"/>
                <w:szCs w:val="22"/>
              </w:rPr>
            </w:pPr>
            <w:r w:rsidRPr="00D33A0B">
              <w:rPr>
                <w:sz w:val="22"/>
                <w:szCs w:val="22"/>
              </w:rPr>
              <w:t>4.24</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4.00</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16.</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4.08</w:t>
            </w:r>
          </w:p>
        </w:tc>
        <w:tc>
          <w:tcPr>
            <w:tcW w:w="803" w:type="dxa"/>
          </w:tcPr>
          <w:p w:rsidR="00FF46A6" w:rsidRPr="00D33A0B" w:rsidRDefault="00FF46A6" w:rsidP="003D326F">
            <w:pPr>
              <w:pStyle w:val="BodyText"/>
              <w:jc w:val="center"/>
              <w:rPr>
                <w:sz w:val="22"/>
                <w:szCs w:val="22"/>
              </w:rPr>
            </w:pPr>
            <w:r w:rsidRPr="00D33A0B">
              <w:rPr>
                <w:sz w:val="22"/>
                <w:szCs w:val="22"/>
              </w:rPr>
              <w:t>4.01</w:t>
            </w:r>
          </w:p>
        </w:tc>
        <w:tc>
          <w:tcPr>
            <w:tcW w:w="803" w:type="dxa"/>
          </w:tcPr>
          <w:p w:rsidR="00FF46A6" w:rsidRPr="00D33A0B" w:rsidRDefault="00FF46A6" w:rsidP="003D326F">
            <w:pPr>
              <w:pStyle w:val="BodyText"/>
              <w:jc w:val="center"/>
              <w:rPr>
                <w:sz w:val="22"/>
                <w:szCs w:val="22"/>
              </w:rPr>
            </w:pPr>
            <w:r w:rsidRPr="00D33A0B">
              <w:rPr>
                <w:sz w:val="22"/>
                <w:szCs w:val="22"/>
              </w:rPr>
              <w:t>3.84</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4.06</w:t>
            </w:r>
          </w:p>
        </w:tc>
        <w:tc>
          <w:tcPr>
            <w:tcW w:w="756" w:type="dxa"/>
          </w:tcPr>
          <w:p w:rsidR="00FF46A6" w:rsidRPr="00D33A0B" w:rsidRDefault="00FF46A6" w:rsidP="003D326F">
            <w:pPr>
              <w:pStyle w:val="BodyText"/>
              <w:jc w:val="center"/>
              <w:rPr>
                <w:sz w:val="22"/>
                <w:szCs w:val="22"/>
              </w:rPr>
            </w:pPr>
            <w:r w:rsidRPr="00D33A0B">
              <w:rPr>
                <w:sz w:val="22"/>
                <w:szCs w:val="22"/>
              </w:rPr>
              <w:t>3.94</w:t>
            </w:r>
          </w:p>
        </w:tc>
        <w:tc>
          <w:tcPr>
            <w:tcW w:w="756" w:type="dxa"/>
          </w:tcPr>
          <w:p w:rsidR="00FF46A6" w:rsidRPr="00D33A0B" w:rsidRDefault="00FF46A6" w:rsidP="003D326F">
            <w:pPr>
              <w:pStyle w:val="BodyText"/>
              <w:jc w:val="center"/>
              <w:rPr>
                <w:sz w:val="22"/>
                <w:szCs w:val="22"/>
              </w:rPr>
            </w:pPr>
            <w:r w:rsidRPr="00D33A0B">
              <w:rPr>
                <w:sz w:val="22"/>
                <w:szCs w:val="22"/>
              </w:rPr>
              <w:t>3.75</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4.06</w:t>
            </w:r>
          </w:p>
        </w:tc>
        <w:tc>
          <w:tcPr>
            <w:tcW w:w="756" w:type="dxa"/>
          </w:tcPr>
          <w:p w:rsidR="00FF46A6" w:rsidRPr="00D33A0B" w:rsidRDefault="00FF46A6" w:rsidP="003D326F">
            <w:pPr>
              <w:pStyle w:val="BodyText"/>
              <w:jc w:val="center"/>
              <w:rPr>
                <w:sz w:val="22"/>
                <w:szCs w:val="22"/>
              </w:rPr>
            </w:pPr>
            <w:r w:rsidRPr="00D33A0B">
              <w:rPr>
                <w:sz w:val="22"/>
                <w:szCs w:val="22"/>
              </w:rPr>
              <w:t>3.81</w:t>
            </w:r>
          </w:p>
        </w:tc>
        <w:tc>
          <w:tcPr>
            <w:tcW w:w="756" w:type="dxa"/>
          </w:tcPr>
          <w:p w:rsidR="00FF46A6" w:rsidRPr="00D33A0B" w:rsidRDefault="00FF46A6" w:rsidP="003D326F">
            <w:pPr>
              <w:pStyle w:val="BodyText"/>
              <w:jc w:val="center"/>
              <w:rPr>
                <w:sz w:val="22"/>
                <w:szCs w:val="22"/>
              </w:rPr>
            </w:pPr>
            <w:r w:rsidRPr="00D33A0B">
              <w:rPr>
                <w:sz w:val="22"/>
                <w:szCs w:val="22"/>
              </w:rPr>
              <w:t>3.79</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4.11</w:t>
            </w:r>
          </w:p>
        </w:tc>
        <w:tc>
          <w:tcPr>
            <w:tcW w:w="803" w:type="dxa"/>
          </w:tcPr>
          <w:p w:rsidR="00FF46A6" w:rsidRPr="00D33A0B" w:rsidRDefault="00FF46A6" w:rsidP="003D326F">
            <w:pPr>
              <w:pStyle w:val="BodyText"/>
              <w:jc w:val="center"/>
              <w:rPr>
                <w:sz w:val="22"/>
                <w:szCs w:val="22"/>
              </w:rPr>
            </w:pPr>
            <w:r w:rsidRPr="00D33A0B">
              <w:rPr>
                <w:sz w:val="22"/>
                <w:szCs w:val="22"/>
              </w:rPr>
              <w:t>4.27</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3.99</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17.</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4.17</w:t>
            </w:r>
          </w:p>
        </w:tc>
        <w:tc>
          <w:tcPr>
            <w:tcW w:w="803" w:type="dxa"/>
          </w:tcPr>
          <w:p w:rsidR="00FF46A6" w:rsidRPr="00D33A0B" w:rsidRDefault="00FF46A6" w:rsidP="003D326F">
            <w:pPr>
              <w:pStyle w:val="BodyText"/>
              <w:jc w:val="center"/>
              <w:rPr>
                <w:sz w:val="22"/>
                <w:szCs w:val="22"/>
              </w:rPr>
            </w:pPr>
            <w:r w:rsidRPr="00D33A0B">
              <w:rPr>
                <w:sz w:val="22"/>
                <w:szCs w:val="22"/>
              </w:rPr>
              <w:t>4.11</w:t>
            </w:r>
          </w:p>
        </w:tc>
        <w:tc>
          <w:tcPr>
            <w:tcW w:w="803" w:type="dxa"/>
          </w:tcPr>
          <w:p w:rsidR="00FF46A6" w:rsidRPr="00D33A0B" w:rsidRDefault="00FF46A6" w:rsidP="003D326F">
            <w:pPr>
              <w:pStyle w:val="BodyText"/>
              <w:jc w:val="center"/>
              <w:rPr>
                <w:sz w:val="22"/>
                <w:szCs w:val="22"/>
              </w:rPr>
            </w:pPr>
            <w:r w:rsidRPr="00D33A0B">
              <w:rPr>
                <w:sz w:val="22"/>
                <w:szCs w:val="22"/>
              </w:rPr>
              <w:t>3.98</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4.21</w:t>
            </w:r>
          </w:p>
        </w:tc>
        <w:tc>
          <w:tcPr>
            <w:tcW w:w="756" w:type="dxa"/>
          </w:tcPr>
          <w:p w:rsidR="00FF46A6" w:rsidRPr="00D33A0B" w:rsidRDefault="00FF46A6" w:rsidP="003D326F">
            <w:pPr>
              <w:pStyle w:val="BodyText"/>
              <w:jc w:val="center"/>
              <w:rPr>
                <w:sz w:val="22"/>
                <w:szCs w:val="22"/>
              </w:rPr>
            </w:pPr>
            <w:r w:rsidRPr="00D33A0B">
              <w:rPr>
                <w:sz w:val="22"/>
                <w:szCs w:val="22"/>
              </w:rPr>
              <w:t>4.12</w:t>
            </w:r>
          </w:p>
        </w:tc>
        <w:tc>
          <w:tcPr>
            <w:tcW w:w="756" w:type="dxa"/>
          </w:tcPr>
          <w:p w:rsidR="00FF46A6" w:rsidRPr="00D33A0B" w:rsidRDefault="00FF46A6" w:rsidP="003D326F">
            <w:pPr>
              <w:pStyle w:val="BodyText"/>
              <w:jc w:val="center"/>
              <w:rPr>
                <w:sz w:val="22"/>
                <w:szCs w:val="22"/>
              </w:rPr>
            </w:pPr>
            <w:r w:rsidRPr="00D33A0B">
              <w:rPr>
                <w:sz w:val="22"/>
                <w:szCs w:val="22"/>
              </w:rPr>
              <w:t>3.88</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4.14</w:t>
            </w:r>
          </w:p>
        </w:tc>
        <w:tc>
          <w:tcPr>
            <w:tcW w:w="756" w:type="dxa"/>
          </w:tcPr>
          <w:p w:rsidR="00FF46A6" w:rsidRPr="00D33A0B" w:rsidRDefault="00FF46A6" w:rsidP="003D326F">
            <w:pPr>
              <w:pStyle w:val="BodyText"/>
              <w:jc w:val="center"/>
              <w:rPr>
                <w:sz w:val="22"/>
                <w:szCs w:val="22"/>
              </w:rPr>
            </w:pPr>
            <w:r w:rsidRPr="00D33A0B">
              <w:rPr>
                <w:sz w:val="22"/>
                <w:szCs w:val="22"/>
              </w:rPr>
              <w:t>3.93</w:t>
            </w:r>
          </w:p>
        </w:tc>
        <w:tc>
          <w:tcPr>
            <w:tcW w:w="756" w:type="dxa"/>
          </w:tcPr>
          <w:p w:rsidR="00FF46A6" w:rsidRPr="00D33A0B" w:rsidRDefault="00FF46A6" w:rsidP="003D326F">
            <w:pPr>
              <w:pStyle w:val="BodyText"/>
              <w:jc w:val="center"/>
              <w:rPr>
                <w:sz w:val="22"/>
                <w:szCs w:val="22"/>
              </w:rPr>
            </w:pPr>
            <w:r w:rsidRPr="00D33A0B">
              <w:rPr>
                <w:sz w:val="22"/>
                <w:szCs w:val="22"/>
              </w:rPr>
              <w:t>3.95</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4.16</w:t>
            </w:r>
          </w:p>
        </w:tc>
        <w:tc>
          <w:tcPr>
            <w:tcW w:w="803" w:type="dxa"/>
          </w:tcPr>
          <w:p w:rsidR="00FF46A6" w:rsidRPr="00D33A0B" w:rsidRDefault="00FF46A6" w:rsidP="003D326F">
            <w:pPr>
              <w:pStyle w:val="BodyText"/>
              <w:jc w:val="center"/>
              <w:rPr>
                <w:sz w:val="22"/>
                <w:szCs w:val="22"/>
              </w:rPr>
            </w:pPr>
            <w:r w:rsidRPr="00D33A0B">
              <w:rPr>
                <w:sz w:val="22"/>
                <w:szCs w:val="22"/>
              </w:rPr>
              <w:t>4.29</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4.10</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18.</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4.13</w:t>
            </w:r>
          </w:p>
        </w:tc>
        <w:tc>
          <w:tcPr>
            <w:tcW w:w="803" w:type="dxa"/>
          </w:tcPr>
          <w:p w:rsidR="00FF46A6" w:rsidRPr="00D33A0B" w:rsidRDefault="00FF46A6" w:rsidP="003D326F">
            <w:pPr>
              <w:pStyle w:val="BodyText"/>
              <w:jc w:val="center"/>
              <w:rPr>
                <w:sz w:val="22"/>
                <w:szCs w:val="22"/>
              </w:rPr>
            </w:pPr>
            <w:r w:rsidRPr="00D33A0B">
              <w:rPr>
                <w:sz w:val="22"/>
                <w:szCs w:val="22"/>
              </w:rPr>
              <w:t>4.02</w:t>
            </w:r>
          </w:p>
        </w:tc>
        <w:tc>
          <w:tcPr>
            <w:tcW w:w="803" w:type="dxa"/>
          </w:tcPr>
          <w:p w:rsidR="00FF46A6" w:rsidRPr="00D33A0B" w:rsidRDefault="00FF46A6" w:rsidP="003D326F">
            <w:pPr>
              <w:pStyle w:val="BodyText"/>
              <w:jc w:val="center"/>
              <w:rPr>
                <w:sz w:val="22"/>
                <w:szCs w:val="22"/>
              </w:rPr>
            </w:pPr>
            <w:r w:rsidRPr="00D33A0B">
              <w:rPr>
                <w:sz w:val="22"/>
                <w:szCs w:val="22"/>
              </w:rPr>
              <w:t>4.13</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4.07</w:t>
            </w:r>
          </w:p>
        </w:tc>
        <w:tc>
          <w:tcPr>
            <w:tcW w:w="756" w:type="dxa"/>
          </w:tcPr>
          <w:p w:rsidR="00FF46A6" w:rsidRPr="00D33A0B" w:rsidRDefault="00FF46A6" w:rsidP="003D326F">
            <w:pPr>
              <w:pStyle w:val="BodyText"/>
              <w:jc w:val="center"/>
              <w:rPr>
                <w:sz w:val="22"/>
                <w:szCs w:val="22"/>
              </w:rPr>
            </w:pPr>
            <w:r w:rsidRPr="00D33A0B">
              <w:rPr>
                <w:sz w:val="22"/>
                <w:szCs w:val="22"/>
              </w:rPr>
              <w:t>3.93</w:t>
            </w:r>
          </w:p>
        </w:tc>
        <w:tc>
          <w:tcPr>
            <w:tcW w:w="756" w:type="dxa"/>
          </w:tcPr>
          <w:p w:rsidR="00FF46A6" w:rsidRPr="00D33A0B" w:rsidRDefault="00FF46A6" w:rsidP="003D326F">
            <w:pPr>
              <w:pStyle w:val="BodyText"/>
              <w:jc w:val="center"/>
              <w:rPr>
                <w:sz w:val="22"/>
                <w:szCs w:val="22"/>
              </w:rPr>
            </w:pPr>
            <w:r w:rsidRPr="00D33A0B">
              <w:rPr>
                <w:sz w:val="22"/>
                <w:szCs w:val="22"/>
              </w:rPr>
              <w:t>3.97</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4.23</w:t>
            </w:r>
          </w:p>
        </w:tc>
        <w:tc>
          <w:tcPr>
            <w:tcW w:w="756" w:type="dxa"/>
          </w:tcPr>
          <w:p w:rsidR="00FF46A6" w:rsidRPr="00D33A0B" w:rsidRDefault="00FF46A6" w:rsidP="003D326F">
            <w:pPr>
              <w:pStyle w:val="BodyText"/>
              <w:jc w:val="center"/>
              <w:rPr>
                <w:sz w:val="22"/>
                <w:szCs w:val="22"/>
              </w:rPr>
            </w:pPr>
            <w:r w:rsidRPr="00D33A0B">
              <w:rPr>
                <w:sz w:val="22"/>
                <w:szCs w:val="22"/>
              </w:rPr>
              <w:t>3.97</w:t>
            </w:r>
          </w:p>
        </w:tc>
        <w:tc>
          <w:tcPr>
            <w:tcW w:w="756" w:type="dxa"/>
          </w:tcPr>
          <w:p w:rsidR="00FF46A6" w:rsidRPr="00D33A0B" w:rsidRDefault="00FF46A6" w:rsidP="003D326F">
            <w:pPr>
              <w:pStyle w:val="BodyText"/>
              <w:jc w:val="center"/>
              <w:rPr>
                <w:sz w:val="22"/>
                <w:szCs w:val="22"/>
              </w:rPr>
            </w:pPr>
            <w:r w:rsidRPr="00D33A0B">
              <w:rPr>
                <w:sz w:val="22"/>
                <w:szCs w:val="22"/>
              </w:rPr>
              <w:t>4.23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4.10</w:t>
            </w:r>
          </w:p>
        </w:tc>
        <w:tc>
          <w:tcPr>
            <w:tcW w:w="803" w:type="dxa"/>
          </w:tcPr>
          <w:p w:rsidR="00FF46A6" w:rsidRPr="00D33A0B" w:rsidRDefault="00FF46A6" w:rsidP="003D326F">
            <w:pPr>
              <w:pStyle w:val="BodyText"/>
              <w:jc w:val="center"/>
              <w:rPr>
                <w:sz w:val="22"/>
                <w:szCs w:val="22"/>
              </w:rPr>
            </w:pPr>
            <w:r w:rsidRPr="00D33A0B">
              <w:rPr>
                <w:sz w:val="22"/>
                <w:szCs w:val="22"/>
              </w:rPr>
              <w:t>4.17</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4.20</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19.</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3.93</w:t>
            </w:r>
          </w:p>
        </w:tc>
        <w:tc>
          <w:tcPr>
            <w:tcW w:w="803" w:type="dxa"/>
          </w:tcPr>
          <w:p w:rsidR="00FF46A6" w:rsidRPr="00D33A0B" w:rsidRDefault="00FF46A6" w:rsidP="003D326F">
            <w:pPr>
              <w:pStyle w:val="BodyText"/>
              <w:jc w:val="center"/>
              <w:rPr>
                <w:sz w:val="22"/>
                <w:szCs w:val="22"/>
              </w:rPr>
            </w:pPr>
            <w:r w:rsidRPr="00D33A0B">
              <w:rPr>
                <w:sz w:val="22"/>
                <w:szCs w:val="22"/>
              </w:rPr>
              <w:t>3.96</w:t>
            </w:r>
          </w:p>
        </w:tc>
        <w:tc>
          <w:tcPr>
            <w:tcW w:w="803" w:type="dxa"/>
          </w:tcPr>
          <w:p w:rsidR="00FF46A6" w:rsidRPr="00D33A0B" w:rsidRDefault="00FF46A6" w:rsidP="003D326F">
            <w:pPr>
              <w:pStyle w:val="BodyText"/>
              <w:jc w:val="center"/>
              <w:rPr>
                <w:sz w:val="22"/>
                <w:szCs w:val="22"/>
              </w:rPr>
            </w:pPr>
            <w:r w:rsidRPr="00D33A0B">
              <w:rPr>
                <w:sz w:val="22"/>
                <w:szCs w:val="22"/>
              </w:rPr>
              <w:t>4.02</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3.95</w:t>
            </w:r>
          </w:p>
        </w:tc>
        <w:tc>
          <w:tcPr>
            <w:tcW w:w="756" w:type="dxa"/>
          </w:tcPr>
          <w:p w:rsidR="00FF46A6" w:rsidRPr="00D33A0B" w:rsidRDefault="00FF46A6" w:rsidP="003D326F">
            <w:pPr>
              <w:pStyle w:val="BodyText"/>
              <w:jc w:val="center"/>
              <w:rPr>
                <w:sz w:val="22"/>
                <w:szCs w:val="22"/>
              </w:rPr>
            </w:pPr>
            <w:r w:rsidRPr="00D33A0B">
              <w:rPr>
                <w:sz w:val="22"/>
                <w:szCs w:val="22"/>
              </w:rPr>
              <w:t>3.89</w:t>
            </w:r>
          </w:p>
        </w:tc>
        <w:tc>
          <w:tcPr>
            <w:tcW w:w="756" w:type="dxa"/>
          </w:tcPr>
          <w:p w:rsidR="00FF46A6" w:rsidRPr="00D33A0B" w:rsidRDefault="00FF46A6" w:rsidP="003D326F">
            <w:pPr>
              <w:pStyle w:val="BodyText"/>
              <w:jc w:val="center"/>
              <w:rPr>
                <w:sz w:val="22"/>
                <w:szCs w:val="22"/>
              </w:rPr>
            </w:pPr>
            <w:r w:rsidRPr="00D33A0B">
              <w:rPr>
                <w:sz w:val="22"/>
                <w:szCs w:val="22"/>
              </w:rPr>
              <w:t>3.92</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3.99</w:t>
            </w:r>
          </w:p>
        </w:tc>
        <w:tc>
          <w:tcPr>
            <w:tcW w:w="756" w:type="dxa"/>
          </w:tcPr>
          <w:p w:rsidR="00FF46A6" w:rsidRPr="00D33A0B" w:rsidRDefault="00FF46A6" w:rsidP="003D326F">
            <w:pPr>
              <w:pStyle w:val="BodyText"/>
              <w:jc w:val="center"/>
              <w:rPr>
                <w:sz w:val="22"/>
                <w:szCs w:val="22"/>
              </w:rPr>
            </w:pPr>
            <w:r w:rsidRPr="00D33A0B">
              <w:rPr>
                <w:sz w:val="22"/>
                <w:szCs w:val="22"/>
              </w:rPr>
              <w:t>3.90</w:t>
            </w:r>
          </w:p>
        </w:tc>
        <w:tc>
          <w:tcPr>
            <w:tcW w:w="756" w:type="dxa"/>
          </w:tcPr>
          <w:p w:rsidR="00FF46A6" w:rsidRPr="00D33A0B" w:rsidRDefault="00FF46A6" w:rsidP="003D326F">
            <w:pPr>
              <w:pStyle w:val="BodyText"/>
              <w:jc w:val="center"/>
              <w:rPr>
                <w:sz w:val="22"/>
                <w:szCs w:val="22"/>
              </w:rPr>
            </w:pPr>
            <w:r w:rsidRPr="00D33A0B">
              <w:rPr>
                <w:sz w:val="22"/>
                <w:szCs w:val="22"/>
              </w:rPr>
              <w:t>4.16</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3.86</w:t>
            </w:r>
          </w:p>
        </w:tc>
        <w:tc>
          <w:tcPr>
            <w:tcW w:w="803" w:type="dxa"/>
          </w:tcPr>
          <w:p w:rsidR="00FF46A6" w:rsidRPr="00D33A0B" w:rsidRDefault="00FF46A6" w:rsidP="003D326F">
            <w:pPr>
              <w:pStyle w:val="BodyText"/>
              <w:jc w:val="center"/>
              <w:rPr>
                <w:sz w:val="22"/>
                <w:szCs w:val="22"/>
              </w:rPr>
            </w:pPr>
            <w:r w:rsidRPr="00D33A0B">
              <w:rPr>
                <w:sz w:val="22"/>
                <w:szCs w:val="22"/>
              </w:rPr>
              <w:t>4.10</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3.99</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20.</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3.95</w:t>
            </w:r>
          </w:p>
        </w:tc>
        <w:tc>
          <w:tcPr>
            <w:tcW w:w="803" w:type="dxa"/>
          </w:tcPr>
          <w:p w:rsidR="00FF46A6" w:rsidRPr="00D33A0B" w:rsidRDefault="00FF46A6" w:rsidP="003D326F">
            <w:pPr>
              <w:pStyle w:val="BodyText"/>
              <w:jc w:val="center"/>
              <w:rPr>
                <w:sz w:val="22"/>
                <w:szCs w:val="22"/>
              </w:rPr>
            </w:pPr>
            <w:r w:rsidRPr="00D33A0B">
              <w:rPr>
                <w:sz w:val="22"/>
                <w:szCs w:val="22"/>
              </w:rPr>
              <w:t>4.01</w:t>
            </w:r>
          </w:p>
        </w:tc>
        <w:tc>
          <w:tcPr>
            <w:tcW w:w="803" w:type="dxa"/>
          </w:tcPr>
          <w:p w:rsidR="00FF46A6" w:rsidRPr="00D33A0B" w:rsidRDefault="00FF46A6" w:rsidP="003D326F">
            <w:pPr>
              <w:pStyle w:val="BodyText"/>
              <w:jc w:val="center"/>
              <w:rPr>
                <w:sz w:val="22"/>
                <w:szCs w:val="22"/>
              </w:rPr>
            </w:pPr>
            <w:r w:rsidRPr="00D33A0B">
              <w:rPr>
                <w:sz w:val="22"/>
                <w:szCs w:val="22"/>
              </w:rPr>
              <w:t>4.11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3.95</w:t>
            </w:r>
          </w:p>
        </w:tc>
        <w:tc>
          <w:tcPr>
            <w:tcW w:w="756" w:type="dxa"/>
          </w:tcPr>
          <w:p w:rsidR="00FF46A6" w:rsidRPr="00D33A0B" w:rsidRDefault="00FF46A6" w:rsidP="003D326F">
            <w:pPr>
              <w:pStyle w:val="BodyText"/>
              <w:jc w:val="center"/>
              <w:rPr>
                <w:sz w:val="22"/>
                <w:szCs w:val="22"/>
              </w:rPr>
            </w:pPr>
            <w:r w:rsidRPr="00D33A0B">
              <w:rPr>
                <w:sz w:val="22"/>
                <w:szCs w:val="22"/>
              </w:rPr>
              <w:t>3.94</w:t>
            </w:r>
          </w:p>
        </w:tc>
        <w:tc>
          <w:tcPr>
            <w:tcW w:w="756" w:type="dxa"/>
          </w:tcPr>
          <w:p w:rsidR="00FF46A6" w:rsidRPr="00D33A0B" w:rsidRDefault="00FF46A6" w:rsidP="003D326F">
            <w:pPr>
              <w:pStyle w:val="BodyText"/>
              <w:jc w:val="center"/>
              <w:rPr>
                <w:sz w:val="22"/>
                <w:szCs w:val="22"/>
              </w:rPr>
            </w:pPr>
            <w:r w:rsidRPr="00D33A0B">
              <w:rPr>
                <w:sz w:val="22"/>
                <w:szCs w:val="22"/>
              </w:rPr>
              <w:t>3.95</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4.08</w:t>
            </w:r>
          </w:p>
        </w:tc>
        <w:tc>
          <w:tcPr>
            <w:tcW w:w="756" w:type="dxa"/>
          </w:tcPr>
          <w:p w:rsidR="00FF46A6" w:rsidRPr="00D33A0B" w:rsidRDefault="00FF46A6" w:rsidP="003D326F">
            <w:pPr>
              <w:pStyle w:val="BodyText"/>
              <w:jc w:val="center"/>
              <w:rPr>
                <w:sz w:val="22"/>
                <w:szCs w:val="22"/>
              </w:rPr>
            </w:pPr>
            <w:r w:rsidRPr="00D33A0B">
              <w:rPr>
                <w:sz w:val="22"/>
                <w:szCs w:val="22"/>
              </w:rPr>
              <w:t>3.95</w:t>
            </w:r>
          </w:p>
        </w:tc>
        <w:tc>
          <w:tcPr>
            <w:tcW w:w="756" w:type="dxa"/>
          </w:tcPr>
          <w:p w:rsidR="00FF46A6" w:rsidRPr="00D33A0B" w:rsidRDefault="00FF46A6" w:rsidP="003D326F">
            <w:pPr>
              <w:pStyle w:val="BodyText"/>
              <w:jc w:val="center"/>
              <w:rPr>
                <w:sz w:val="22"/>
                <w:szCs w:val="22"/>
              </w:rPr>
            </w:pPr>
            <w:r w:rsidRPr="00D33A0B">
              <w:rPr>
                <w:sz w:val="22"/>
                <w:szCs w:val="22"/>
              </w:rPr>
              <w:t>4.14</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3.82</w:t>
            </w:r>
          </w:p>
        </w:tc>
        <w:tc>
          <w:tcPr>
            <w:tcW w:w="803" w:type="dxa"/>
          </w:tcPr>
          <w:p w:rsidR="00FF46A6" w:rsidRPr="00D33A0B" w:rsidRDefault="00FF46A6" w:rsidP="003D326F">
            <w:pPr>
              <w:pStyle w:val="BodyText"/>
              <w:jc w:val="center"/>
              <w:rPr>
                <w:sz w:val="22"/>
                <w:szCs w:val="22"/>
              </w:rPr>
            </w:pPr>
            <w:r w:rsidRPr="00D33A0B">
              <w:rPr>
                <w:sz w:val="22"/>
                <w:szCs w:val="22"/>
              </w:rPr>
              <w:t>4.14</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4.23</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21.</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4.20</w:t>
            </w:r>
          </w:p>
        </w:tc>
        <w:tc>
          <w:tcPr>
            <w:tcW w:w="803" w:type="dxa"/>
          </w:tcPr>
          <w:p w:rsidR="00FF46A6" w:rsidRPr="00D33A0B" w:rsidRDefault="00FF46A6" w:rsidP="003D326F">
            <w:pPr>
              <w:pStyle w:val="BodyText"/>
              <w:jc w:val="center"/>
              <w:rPr>
                <w:sz w:val="22"/>
                <w:szCs w:val="22"/>
              </w:rPr>
            </w:pPr>
            <w:r w:rsidRPr="00D33A0B">
              <w:rPr>
                <w:sz w:val="22"/>
                <w:szCs w:val="22"/>
              </w:rPr>
              <w:t>4.20</w:t>
            </w:r>
          </w:p>
        </w:tc>
        <w:tc>
          <w:tcPr>
            <w:tcW w:w="803" w:type="dxa"/>
          </w:tcPr>
          <w:p w:rsidR="00FF46A6" w:rsidRPr="00D33A0B" w:rsidRDefault="00FF46A6" w:rsidP="003D326F">
            <w:pPr>
              <w:pStyle w:val="BodyText"/>
              <w:jc w:val="center"/>
              <w:rPr>
                <w:sz w:val="22"/>
                <w:szCs w:val="22"/>
              </w:rPr>
            </w:pPr>
            <w:r w:rsidRPr="00D33A0B">
              <w:rPr>
                <w:sz w:val="22"/>
                <w:szCs w:val="22"/>
              </w:rPr>
              <w:t>4.18</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4.20</w:t>
            </w:r>
          </w:p>
        </w:tc>
        <w:tc>
          <w:tcPr>
            <w:tcW w:w="756" w:type="dxa"/>
          </w:tcPr>
          <w:p w:rsidR="00FF46A6" w:rsidRPr="00D33A0B" w:rsidRDefault="00FF46A6" w:rsidP="003D326F">
            <w:pPr>
              <w:pStyle w:val="BodyText"/>
              <w:jc w:val="center"/>
              <w:rPr>
                <w:sz w:val="22"/>
                <w:szCs w:val="22"/>
              </w:rPr>
            </w:pPr>
            <w:r w:rsidRPr="00D33A0B">
              <w:rPr>
                <w:sz w:val="22"/>
                <w:szCs w:val="22"/>
              </w:rPr>
              <w:t>4.16</w:t>
            </w:r>
          </w:p>
        </w:tc>
        <w:tc>
          <w:tcPr>
            <w:tcW w:w="756" w:type="dxa"/>
          </w:tcPr>
          <w:p w:rsidR="00FF46A6" w:rsidRPr="00D33A0B" w:rsidRDefault="00FF46A6" w:rsidP="003D326F">
            <w:pPr>
              <w:pStyle w:val="BodyText"/>
              <w:jc w:val="center"/>
              <w:rPr>
                <w:sz w:val="22"/>
                <w:szCs w:val="22"/>
              </w:rPr>
            </w:pPr>
            <w:r w:rsidRPr="00D33A0B">
              <w:rPr>
                <w:sz w:val="22"/>
                <w:szCs w:val="22"/>
              </w:rPr>
              <w:t>4.01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4.24</w:t>
            </w:r>
          </w:p>
        </w:tc>
        <w:tc>
          <w:tcPr>
            <w:tcW w:w="756" w:type="dxa"/>
          </w:tcPr>
          <w:p w:rsidR="00FF46A6" w:rsidRPr="00D33A0B" w:rsidRDefault="00FF46A6" w:rsidP="003D326F">
            <w:pPr>
              <w:pStyle w:val="BodyText"/>
              <w:jc w:val="center"/>
              <w:rPr>
                <w:sz w:val="22"/>
                <w:szCs w:val="22"/>
              </w:rPr>
            </w:pPr>
            <w:r w:rsidRPr="00D33A0B">
              <w:rPr>
                <w:sz w:val="22"/>
                <w:szCs w:val="22"/>
              </w:rPr>
              <w:t>4.13</w:t>
            </w:r>
          </w:p>
        </w:tc>
        <w:tc>
          <w:tcPr>
            <w:tcW w:w="756" w:type="dxa"/>
          </w:tcPr>
          <w:p w:rsidR="00FF46A6" w:rsidRPr="00D33A0B" w:rsidRDefault="00FF46A6" w:rsidP="003D326F">
            <w:pPr>
              <w:pStyle w:val="BodyText"/>
              <w:jc w:val="center"/>
              <w:rPr>
                <w:sz w:val="22"/>
                <w:szCs w:val="22"/>
              </w:rPr>
            </w:pPr>
            <w:r w:rsidRPr="00D33A0B">
              <w:rPr>
                <w:sz w:val="22"/>
                <w:szCs w:val="22"/>
              </w:rPr>
              <w:t>4.19</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4.17</w:t>
            </w:r>
          </w:p>
        </w:tc>
        <w:tc>
          <w:tcPr>
            <w:tcW w:w="803" w:type="dxa"/>
          </w:tcPr>
          <w:p w:rsidR="00FF46A6" w:rsidRPr="00D33A0B" w:rsidRDefault="00FF46A6" w:rsidP="003D326F">
            <w:pPr>
              <w:pStyle w:val="BodyText"/>
              <w:jc w:val="center"/>
              <w:rPr>
                <w:sz w:val="22"/>
                <w:szCs w:val="22"/>
              </w:rPr>
            </w:pPr>
            <w:r w:rsidRPr="00D33A0B">
              <w:rPr>
                <w:sz w:val="22"/>
                <w:szCs w:val="22"/>
              </w:rPr>
              <w:t>4.31</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4.34</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22.</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4.06</w:t>
            </w:r>
          </w:p>
        </w:tc>
        <w:tc>
          <w:tcPr>
            <w:tcW w:w="803" w:type="dxa"/>
          </w:tcPr>
          <w:p w:rsidR="00FF46A6" w:rsidRPr="00D33A0B" w:rsidRDefault="00FF46A6" w:rsidP="003D326F">
            <w:pPr>
              <w:pStyle w:val="BodyText"/>
              <w:jc w:val="center"/>
              <w:rPr>
                <w:sz w:val="22"/>
                <w:szCs w:val="22"/>
              </w:rPr>
            </w:pPr>
            <w:r w:rsidRPr="00D33A0B">
              <w:rPr>
                <w:sz w:val="22"/>
                <w:szCs w:val="22"/>
              </w:rPr>
              <w:t>4.16</w:t>
            </w:r>
          </w:p>
        </w:tc>
        <w:tc>
          <w:tcPr>
            <w:tcW w:w="803" w:type="dxa"/>
          </w:tcPr>
          <w:p w:rsidR="00FF46A6" w:rsidRPr="00D33A0B" w:rsidRDefault="00FF46A6" w:rsidP="003D326F">
            <w:pPr>
              <w:pStyle w:val="BodyText"/>
              <w:jc w:val="center"/>
              <w:rPr>
                <w:sz w:val="22"/>
                <w:szCs w:val="22"/>
              </w:rPr>
            </w:pPr>
            <w:r w:rsidRPr="00D33A0B">
              <w:rPr>
                <w:sz w:val="22"/>
                <w:szCs w:val="22"/>
              </w:rPr>
              <w:t>4.12</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4.09</w:t>
            </w:r>
          </w:p>
        </w:tc>
        <w:tc>
          <w:tcPr>
            <w:tcW w:w="756" w:type="dxa"/>
          </w:tcPr>
          <w:p w:rsidR="00FF46A6" w:rsidRPr="00D33A0B" w:rsidRDefault="00FF46A6" w:rsidP="003D326F">
            <w:pPr>
              <w:pStyle w:val="BodyText"/>
              <w:jc w:val="center"/>
              <w:rPr>
                <w:sz w:val="22"/>
                <w:szCs w:val="22"/>
              </w:rPr>
            </w:pPr>
            <w:r w:rsidRPr="00D33A0B">
              <w:rPr>
                <w:sz w:val="22"/>
                <w:szCs w:val="22"/>
              </w:rPr>
              <w:t>4.20</w:t>
            </w:r>
          </w:p>
        </w:tc>
        <w:tc>
          <w:tcPr>
            <w:tcW w:w="756" w:type="dxa"/>
          </w:tcPr>
          <w:p w:rsidR="00FF46A6" w:rsidRPr="00D33A0B" w:rsidRDefault="00FF46A6" w:rsidP="003D326F">
            <w:pPr>
              <w:pStyle w:val="BodyText"/>
              <w:jc w:val="center"/>
              <w:rPr>
                <w:sz w:val="22"/>
                <w:szCs w:val="22"/>
              </w:rPr>
            </w:pPr>
            <w:r w:rsidRPr="00D33A0B">
              <w:rPr>
                <w:sz w:val="22"/>
                <w:szCs w:val="22"/>
              </w:rPr>
              <w:t>4.11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4.00</w:t>
            </w:r>
          </w:p>
        </w:tc>
        <w:tc>
          <w:tcPr>
            <w:tcW w:w="756" w:type="dxa"/>
          </w:tcPr>
          <w:p w:rsidR="00FF46A6" w:rsidRPr="00D33A0B" w:rsidRDefault="00FF46A6" w:rsidP="003D326F">
            <w:pPr>
              <w:pStyle w:val="BodyText"/>
              <w:jc w:val="center"/>
              <w:rPr>
                <w:sz w:val="22"/>
                <w:szCs w:val="22"/>
              </w:rPr>
            </w:pPr>
            <w:r w:rsidRPr="00D33A0B">
              <w:rPr>
                <w:sz w:val="22"/>
                <w:szCs w:val="22"/>
              </w:rPr>
              <w:t>4.00</w:t>
            </w:r>
          </w:p>
        </w:tc>
        <w:tc>
          <w:tcPr>
            <w:tcW w:w="756" w:type="dxa"/>
          </w:tcPr>
          <w:p w:rsidR="00FF46A6" w:rsidRPr="00D33A0B" w:rsidRDefault="00FF46A6" w:rsidP="003D326F">
            <w:pPr>
              <w:pStyle w:val="BodyText"/>
              <w:jc w:val="center"/>
              <w:rPr>
                <w:sz w:val="22"/>
                <w:szCs w:val="22"/>
              </w:rPr>
            </w:pPr>
            <w:r w:rsidRPr="00D33A0B">
              <w:rPr>
                <w:sz w:val="22"/>
                <w:szCs w:val="22"/>
              </w:rPr>
              <w:t>3.89</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4.09</w:t>
            </w:r>
          </w:p>
        </w:tc>
        <w:tc>
          <w:tcPr>
            <w:tcW w:w="803" w:type="dxa"/>
          </w:tcPr>
          <w:p w:rsidR="00FF46A6" w:rsidRPr="00D33A0B" w:rsidRDefault="00FF46A6" w:rsidP="003D326F">
            <w:pPr>
              <w:pStyle w:val="BodyText"/>
              <w:jc w:val="center"/>
              <w:rPr>
                <w:sz w:val="22"/>
                <w:szCs w:val="22"/>
              </w:rPr>
            </w:pPr>
            <w:r w:rsidRPr="00D33A0B">
              <w:rPr>
                <w:sz w:val="22"/>
                <w:szCs w:val="22"/>
              </w:rPr>
              <w:t>4.27</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4.36</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23.</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4.21</w:t>
            </w:r>
          </w:p>
        </w:tc>
        <w:tc>
          <w:tcPr>
            <w:tcW w:w="803" w:type="dxa"/>
          </w:tcPr>
          <w:p w:rsidR="00FF46A6" w:rsidRPr="00D33A0B" w:rsidRDefault="00FF46A6" w:rsidP="003D326F">
            <w:pPr>
              <w:pStyle w:val="BodyText"/>
              <w:jc w:val="center"/>
              <w:rPr>
                <w:sz w:val="22"/>
                <w:szCs w:val="22"/>
              </w:rPr>
            </w:pPr>
            <w:r w:rsidRPr="00D33A0B">
              <w:rPr>
                <w:sz w:val="22"/>
                <w:szCs w:val="22"/>
              </w:rPr>
              <w:t>4.28</w:t>
            </w:r>
          </w:p>
        </w:tc>
        <w:tc>
          <w:tcPr>
            <w:tcW w:w="803" w:type="dxa"/>
          </w:tcPr>
          <w:p w:rsidR="00FF46A6" w:rsidRPr="00D33A0B" w:rsidRDefault="00FF46A6" w:rsidP="003D326F">
            <w:pPr>
              <w:pStyle w:val="BodyText"/>
              <w:jc w:val="center"/>
              <w:rPr>
                <w:sz w:val="22"/>
                <w:szCs w:val="22"/>
              </w:rPr>
            </w:pPr>
            <w:r w:rsidRPr="00D33A0B">
              <w:rPr>
                <w:sz w:val="22"/>
                <w:szCs w:val="22"/>
              </w:rPr>
              <w:t>4.22</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4.22</w:t>
            </w:r>
          </w:p>
        </w:tc>
        <w:tc>
          <w:tcPr>
            <w:tcW w:w="756" w:type="dxa"/>
          </w:tcPr>
          <w:p w:rsidR="00FF46A6" w:rsidRPr="00D33A0B" w:rsidRDefault="00FF46A6" w:rsidP="003D326F">
            <w:pPr>
              <w:pStyle w:val="BodyText"/>
              <w:jc w:val="center"/>
              <w:rPr>
                <w:sz w:val="22"/>
                <w:szCs w:val="22"/>
              </w:rPr>
            </w:pPr>
            <w:r w:rsidRPr="00D33A0B">
              <w:rPr>
                <w:sz w:val="22"/>
                <w:szCs w:val="22"/>
              </w:rPr>
              <w:t>4.34</w:t>
            </w:r>
          </w:p>
        </w:tc>
        <w:tc>
          <w:tcPr>
            <w:tcW w:w="756" w:type="dxa"/>
          </w:tcPr>
          <w:p w:rsidR="00FF46A6" w:rsidRPr="00D33A0B" w:rsidRDefault="00FF46A6" w:rsidP="003D326F">
            <w:pPr>
              <w:pStyle w:val="BodyText"/>
              <w:jc w:val="center"/>
              <w:rPr>
                <w:sz w:val="22"/>
                <w:szCs w:val="22"/>
              </w:rPr>
            </w:pPr>
            <w:r w:rsidRPr="00D33A0B">
              <w:rPr>
                <w:sz w:val="22"/>
                <w:szCs w:val="22"/>
              </w:rPr>
              <w:t>4.09</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4.14</w:t>
            </w:r>
          </w:p>
        </w:tc>
        <w:tc>
          <w:tcPr>
            <w:tcW w:w="756" w:type="dxa"/>
          </w:tcPr>
          <w:p w:rsidR="00FF46A6" w:rsidRPr="00D33A0B" w:rsidRDefault="00FF46A6" w:rsidP="003D326F">
            <w:pPr>
              <w:pStyle w:val="BodyText"/>
              <w:jc w:val="center"/>
              <w:rPr>
                <w:sz w:val="22"/>
                <w:szCs w:val="22"/>
              </w:rPr>
            </w:pPr>
            <w:r w:rsidRPr="00D33A0B">
              <w:rPr>
                <w:sz w:val="22"/>
                <w:szCs w:val="22"/>
              </w:rPr>
              <w:t>4.19</w:t>
            </w:r>
          </w:p>
        </w:tc>
        <w:tc>
          <w:tcPr>
            <w:tcW w:w="756" w:type="dxa"/>
          </w:tcPr>
          <w:p w:rsidR="00FF46A6" w:rsidRPr="00D33A0B" w:rsidRDefault="00FF46A6" w:rsidP="003D326F">
            <w:pPr>
              <w:pStyle w:val="BodyText"/>
              <w:jc w:val="center"/>
              <w:rPr>
                <w:sz w:val="22"/>
                <w:szCs w:val="22"/>
              </w:rPr>
            </w:pPr>
            <w:r w:rsidRPr="00D33A0B">
              <w:rPr>
                <w:sz w:val="22"/>
                <w:szCs w:val="22"/>
              </w:rPr>
              <w:t>4.18</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4.26</w:t>
            </w:r>
          </w:p>
        </w:tc>
        <w:tc>
          <w:tcPr>
            <w:tcW w:w="803" w:type="dxa"/>
          </w:tcPr>
          <w:p w:rsidR="00FF46A6" w:rsidRPr="00D33A0B" w:rsidRDefault="00FF46A6" w:rsidP="003D326F">
            <w:pPr>
              <w:pStyle w:val="BodyText"/>
              <w:jc w:val="center"/>
              <w:rPr>
                <w:sz w:val="22"/>
                <w:szCs w:val="22"/>
              </w:rPr>
            </w:pPr>
            <w:r w:rsidRPr="00D33A0B">
              <w:rPr>
                <w:sz w:val="22"/>
                <w:szCs w:val="22"/>
              </w:rPr>
              <w:t>4.32</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4.38</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24.</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4.28</w:t>
            </w:r>
          </w:p>
        </w:tc>
        <w:tc>
          <w:tcPr>
            <w:tcW w:w="803" w:type="dxa"/>
          </w:tcPr>
          <w:p w:rsidR="00FF46A6" w:rsidRPr="00D33A0B" w:rsidRDefault="00FF46A6" w:rsidP="003D326F">
            <w:pPr>
              <w:pStyle w:val="BodyText"/>
              <w:jc w:val="center"/>
              <w:rPr>
                <w:sz w:val="22"/>
                <w:szCs w:val="22"/>
              </w:rPr>
            </w:pPr>
            <w:r w:rsidRPr="00D33A0B">
              <w:rPr>
                <w:sz w:val="22"/>
                <w:szCs w:val="22"/>
              </w:rPr>
              <w:t>4.28</w:t>
            </w:r>
          </w:p>
        </w:tc>
        <w:tc>
          <w:tcPr>
            <w:tcW w:w="803" w:type="dxa"/>
          </w:tcPr>
          <w:p w:rsidR="00FF46A6" w:rsidRPr="00D33A0B" w:rsidRDefault="00FF46A6" w:rsidP="003D326F">
            <w:pPr>
              <w:pStyle w:val="BodyText"/>
              <w:jc w:val="center"/>
              <w:rPr>
                <w:sz w:val="22"/>
                <w:szCs w:val="22"/>
              </w:rPr>
            </w:pPr>
            <w:r w:rsidRPr="00D33A0B">
              <w:rPr>
                <w:sz w:val="22"/>
                <w:szCs w:val="22"/>
              </w:rPr>
              <w:t>4.29</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4.33</w:t>
            </w:r>
          </w:p>
        </w:tc>
        <w:tc>
          <w:tcPr>
            <w:tcW w:w="756" w:type="dxa"/>
          </w:tcPr>
          <w:p w:rsidR="00FF46A6" w:rsidRPr="00D33A0B" w:rsidRDefault="00FF46A6" w:rsidP="003D326F">
            <w:pPr>
              <w:pStyle w:val="BodyText"/>
              <w:jc w:val="center"/>
              <w:rPr>
                <w:sz w:val="22"/>
                <w:szCs w:val="22"/>
              </w:rPr>
            </w:pPr>
            <w:r w:rsidRPr="00D33A0B">
              <w:rPr>
                <w:sz w:val="22"/>
                <w:szCs w:val="22"/>
              </w:rPr>
              <w:t>4.27</w:t>
            </w:r>
          </w:p>
        </w:tc>
        <w:tc>
          <w:tcPr>
            <w:tcW w:w="756" w:type="dxa"/>
          </w:tcPr>
          <w:p w:rsidR="00FF46A6" w:rsidRPr="00D33A0B" w:rsidRDefault="00FF46A6" w:rsidP="003D326F">
            <w:pPr>
              <w:pStyle w:val="BodyText"/>
              <w:jc w:val="center"/>
              <w:rPr>
                <w:sz w:val="22"/>
                <w:szCs w:val="22"/>
              </w:rPr>
            </w:pPr>
            <w:r w:rsidRPr="00D33A0B">
              <w:rPr>
                <w:sz w:val="22"/>
                <w:szCs w:val="22"/>
              </w:rPr>
              <w:t>4.10</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4.19</w:t>
            </w:r>
          </w:p>
        </w:tc>
        <w:tc>
          <w:tcPr>
            <w:tcW w:w="756" w:type="dxa"/>
          </w:tcPr>
          <w:p w:rsidR="00FF46A6" w:rsidRPr="00D33A0B" w:rsidRDefault="00FF46A6" w:rsidP="003D326F">
            <w:pPr>
              <w:pStyle w:val="BodyText"/>
              <w:jc w:val="center"/>
              <w:rPr>
                <w:sz w:val="22"/>
                <w:szCs w:val="22"/>
              </w:rPr>
            </w:pPr>
            <w:r w:rsidRPr="00D33A0B">
              <w:rPr>
                <w:sz w:val="22"/>
                <w:szCs w:val="22"/>
              </w:rPr>
              <w:t>4.18</w:t>
            </w:r>
          </w:p>
        </w:tc>
        <w:tc>
          <w:tcPr>
            <w:tcW w:w="756" w:type="dxa"/>
          </w:tcPr>
          <w:p w:rsidR="00FF46A6" w:rsidRPr="00D33A0B" w:rsidRDefault="00FF46A6" w:rsidP="003D326F">
            <w:pPr>
              <w:pStyle w:val="BodyText"/>
              <w:jc w:val="center"/>
              <w:rPr>
                <w:sz w:val="22"/>
                <w:szCs w:val="22"/>
              </w:rPr>
            </w:pPr>
            <w:r w:rsidRPr="00D33A0B">
              <w:rPr>
                <w:sz w:val="22"/>
                <w:szCs w:val="22"/>
              </w:rPr>
              <w:t>4.21</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4.31</w:t>
            </w:r>
          </w:p>
        </w:tc>
        <w:tc>
          <w:tcPr>
            <w:tcW w:w="803" w:type="dxa"/>
          </w:tcPr>
          <w:p w:rsidR="00FF46A6" w:rsidRPr="00D33A0B" w:rsidRDefault="00FF46A6" w:rsidP="003D326F">
            <w:pPr>
              <w:pStyle w:val="BodyText"/>
              <w:jc w:val="center"/>
              <w:rPr>
                <w:sz w:val="22"/>
                <w:szCs w:val="22"/>
              </w:rPr>
            </w:pPr>
            <w:r w:rsidRPr="00D33A0B">
              <w:rPr>
                <w:sz w:val="22"/>
                <w:szCs w:val="22"/>
              </w:rPr>
              <w:t>4.38</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4.57</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25.</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4.35</w:t>
            </w:r>
          </w:p>
        </w:tc>
        <w:tc>
          <w:tcPr>
            <w:tcW w:w="803" w:type="dxa"/>
          </w:tcPr>
          <w:p w:rsidR="00FF46A6" w:rsidRPr="00D33A0B" w:rsidRDefault="00FF46A6" w:rsidP="003D326F">
            <w:pPr>
              <w:pStyle w:val="BodyText"/>
              <w:jc w:val="center"/>
              <w:rPr>
                <w:sz w:val="22"/>
                <w:szCs w:val="22"/>
              </w:rPr>
            </w:pPr>
            <w:r w:rsidRPr="00D33A0B">
              <w:rPr>
                <w:sz w:val="22"/>
                <w:szCs w:val="22"/>
              </w:rPr>
              <w:t>4.22</w:t>
            </w:r>
          </w:p>
        </w:tc>
        <w:tc>
          <w:tcPr>
            <w:tcW w:w="803" w:type="dxa"/>
          </w:tcPr>
          <w:p w:rsidR="00FF46A6" w:rsidRPr="00D33A0B" w:rsidRDefault="00FF46A6" w:rsidP="003D326F">
            <w:pPr>
              <w:pStyle w:val="BodyText"/>
              <w:jc w:val="center"/>
              <w:rPr>
                <w:sz w:val="22"/>
                <w:szCs w:val="22"/>
              </w:rPr>
            </w:pPr>
            <w:r w:rsidRPr="00D33A0B">
              <w:rPr>
                <w:sz w:val="22"/>
                <w:szCs w:val="22"/>
              </w:rPr>
              <w:t>4.41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4.37</w:t>
            </w:r>
          </w:p>
        </w:tc>
        <w:tc>
          <w:tcPr>
            <w:tcW w:w="756" w:type="dxa"/>
          </w:tcPr>
          <w:p w:rsidR="00FF46A6" w:rsidRPr="00D33A0B" w:rsidRDefault="00FF46A6" w:rsidP="003D326F">
            <w:pPr>
              <w:pStyle w:val="BodyText"/>
              <w:jc w:val="center"/>
              <w:rPr>
                <w:sz w:val="22"/>
                <w:szCs w:val="22"/>
              </w:rPr>
            </w:pPr>
            <w:r w:rsidRPr="00D33A0B">
              <w:rPr>
                <w:sz w:val="22"/>
                <w:szCs w:val="22"/>
              </w:rPr>
              <w:t>4.19</w:t>
            </w:r>
          </w:p>
        </w:tc>
        <w:tc>
          <w:tcPr>
            <w:tcW w:w="756" w:type="dxa"/>
          </w:tcPr>
          <w:p w:rsidR="00FF46A6" w:rsidRPr="00D33A0B" w:rsidRDefault="00FF46A6" w:rsidP="003D326F">
            <w:pPr>
              <w:pStyle w:val="BodyText"/>
              <w:jc w:val="center"/>
              <w:rPr>
                <w:sz w:val="22"/>
                <w:szCs w:val="22"/>
              </w:rPr>
            </w:pPr>
            <w:r w:rsidRPr="00D33A0B">
              <w:rPr>
                <w:sz w:val="22"/>
                <w:szCs w:val="22"/>
              </w:rPr>
              <w:t>4.11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4.31</w:t>
            </w:r>
          </w:p>
        </w:tc>
        <w:tc>
          <w:tcPr>
            <w:tcW w:w="756" w:type="dxa"/>
          </w:tcPr>
          <w:p w:rsidR="00FF46A6" w:rsidRPr="00D33A0B" w:rsidRDefault="00FF46A6" w:rsidP="003D326F">
            <w:pPr>
              <w:pStyle w:val="BodyText"/>
              <w:jc w:val="center"/>
              <w:rPr>
                <w:sz w:val="22"/>
                <w:szCs w:val="22"/>
              </w:rPr>
            </w:pPr>
            <w:r w:rsidRPr="00D33A0B">
              <w:rPr>
                <w:sz w:val="22"/>
                <w:szCs w:val="22"/>
              </w:rPr>
              <w:t>4.16</w:t>
            </w:r>
          </w:p>
        </w:tc>
        <w:tc>
          <w:tcPr>
            <w:tcW w:w="756" w:type="dxa"/>
          </w:tcPr>
          <w:p w:rsidR="00FF46A6" w:rsidRPr="00D33A0B" w:rsidRDefault="00FF46A6" w:rsidP="003D326F">
            <w:pPr>
              <w:pStyle w:val="BodyText"/>
              <w:jc w:val="center"/>
              <w:rPr>
                <w:sz w:val="22"/>
                <w:szCs w:val="22"/>
              </w:rPr>
            </w:pPr>
            <w:r w:rsidRPr="00D33A0B">
              <w:rPr>
                <w:sz w:val="22"/>
                <w:szCs w:val="22"/>
              </w:rPr>
              <w:t>4.40</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4.36</w:t>
            </w:r>
          </w:p>
        </w:tc>
        <w:tc>
          <w:tcPr>
            <w:tcW w:w="803" w:type="dxa"/>
          </w:tcPr>
          <w:p w:rsidR="00FF46A6" w:rsidRPr="00D33A0B" w:rsidRDefault="00FF46A6" w:rsidP="003D326F">
            <w:pPr>
              <w:pStyle w:val="BodyText"/>
              <w:jc w:val="center"/>
              <w:rPr>
                <w:sz w:val="22"/>
                <w:szCs w:val="22"/>
              </w:rPr>
            </w:pPr>
            <w:r w:rsidRPr="00D33A0B">
              <w:rPr>
                <w:sz w:val="22"/>
                <w:szCs w:val="22"/>
              </w:rPr>
              <w:t>4.30</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4.72</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26.</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4.33</w:t>
            </w:r>
          </w:p>
        </w:tc>
        <w:tc>
          <w:tcPr>
            <w:tcW w:w="803" w:type="dxa"/>
          </w:tcPr>
          <w:p w:rsidR="00FF46A6" w:rsidRPr="00D33A0B" w:rsidRDefault="00FF46A6" w:rsidP="003D326F">
            <w:pPr>
              <w:pStyle w:val="BodyText"/>
              <w:jc w:val="center"/>
              <w:rPr>
                <w:sz w:val="22"/>
                <w:szCs w:val="22"/>
              </w:rPr>
            </w:pPr>
            <w:r w:rsidRPr="00D33A0B">
              <w:rPr>
                <w:sz w:val="22"/>
                <w:szCs w:val="22"/>
              </w:rPr>
              <w:t>4.31</w:t>
            </w:r>
          </w:p>
        </w:tc>
        <w:tc>
          <w:tcPr>
            <w:tcW w:w="803" w:type="dxa"/>
          </w:tcPr>
          <w:p w:rsidR="00FF46A6" w:rsidRPr="00D33A0B" w:rsidRDefault="00FF46A6" w:rsidP="003D326F">
            <w:pPr>
              <w:pStyle w:val="BodyText"/>
              <w:jc w:val="center"/>
              <w:rPr>
                <w:sz w:val="22"/>
                <w:szCs w:val="22"/>
              </w:rPr>
            </w:pPr>
            <w:r w:rsidRPr="00D33A0B">
              <w:rPr>
                <w:sz w:val="22"/>
                <w:szCs w:val="22"/>
              </w:rPr>
              <w:t>4.40</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4.25</w:t>
            </w:r>
          </w:p>
        </w:tc>
        <w:tc>
          <w:tcPr>
            <w:tcW w:w="756" w:type="dxa"/>
          </w:tcPr>
          <w:p w:rsidR="00FF46A6" w:rsidRPr="00D33A0B" w:rsidRDefault="00FF46A6" w:rsidP="003D326F">
            <w:pPr>
              <w:pStyle w:val="BodyText"/>
              <w:jc w:val="center"/>
              <w:rPr>
                <w:sz w:val="22"/>
                <w:szCs w:val="22"/>
              </w:rPr>
            </w:pPr>
            <w:r w:rsidRPr="00D33A0B">
              <w:rPr>
                <w:sz w:val="22"/>
                <w:szCs w:val="22"/>
              </w:rPr>
              <w:t>4.14</w:t>
            </w:r>
          </w:p>
        </w:tc>
        <w:tc>
          <w:tcPr>
            <w:tcW w:w="756" w:type="dxa"/>
          </w:tcPr>
          <w:p w:rsidR="00FF46A6" w:rsidRPr="00D33A0B" w:rsidRDefault="00FF46A6" w:rsidP="003D326F">
            <w:pPr>
              <w:pStyle w:val="BodyText"/>
              <w:jc w:val="center"/>
              <w:rPr>
                <w:sz w:val="22"/>
                <w:szCs w:val="22"/>
              </w:rPr>
            </w:pPr>
            <w:r w:rsidRPr="00D33A0B">
              <w:rPr>
                <w:sz w:val="22"/>
                <w:szCs w:val="22"/>
              </w:rPr>
              <w:t>4.01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4.41</w:t>
            </w:r>
          </w:p>
        </w:tc>
        <w:tc>
          <w:tcPr>
            <w:tcW w:w="756" w:type="dxa"/>
          </w:tcPr>
          <w:p w:rsidR="00FF46A6" w:rsidRPr="00D33A0B" w:rsidRDefault="00FF46A6" w:rsidP="003D326F">
            <w:pPr>
              <w:pStyle w:val="BodyText"/>
              <w:jc w:val="center"/>
              <w:rPr>
                <w:sz w:val="22"/>
                <w:szCs w:val="22"/>
              </w:rPr>
            </w:pPr>
            <w:r w:rsidRPr="00D33A0B">
              <w:rPr>
                <w:sz w:val="22"/>
                <w:szCs w:val="22"/>
              </w:rPr>
              <w:t>4.34</w:t>
            </w:r>
          </w:p>
        </w:tc>
        <w:tc>
          <w:tcPr>
            <w:tcW w:w="756" w:type="dxa"/>
          </w:tcPr>
          <w:p w:rsidR="00FF46A6" w:rsidRPr="00D33A0B" w:rsidRDefault="00FF46A6" w:rsidP="003D326F">
            <w:pPr>
              <w:pStyle w:val="BodyText"/>
              <w:jc w:val="center"/>
              <w:rPr>
                <w:sz w:val="22"/>
                <w:szCs w:val="22"/>
              </w:rPr>
            </w:pPr>
            <w:r w:rsidRPr="00D33A0B">
              <w:rPr>
                <w:sz w:val="22"/>
                <w:szCs w:val="22"/>
              </w:rPr>
              <w:t>4.44</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4.34</w:t>
            </w:r>
          </w:p>
        </w:tc>
        <w:tc>
          <w:tcPr>
            <w:tcW w:w="803" w:type="dxa"/>
          </w:tcPr>
          <w:p w:rsidR="00FF46A6" w:rsidRPr="00D33A0B" w:rsidRDefault="00FF46A6" w:rsidP="003D326F">
            <w:pPr>
              <w:pStyle w:val="BodyText"/>
              <w:jc w:val="center"/>
              <w:rPr>
                <w:sz w:val="22"/>
                <w:szCs w:val="22"/>
              </w:rPr>
            </w:pPr>
            <w:r w:rsidRPr="00D33A0B">
              <w:rPr>
                <w:sz w:val="22"/>
                <w:szCs w:val="22"/>
              </w:rPr>
              <w:t>4.44</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4.74</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27.</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4.30</w:t>
            </w:r>
          </w:p>
        </w:tc>
        <w:tc>
          <w:tcPr>
            <w:tcW w:w="803" w:type="dxa"/>
          </w:tcPr>
          <w:p w:rsidR="00FF46A6" w:rsidRPr="00D33A0B" w:rsidRDefault="00FF46A6" w:rsidP="003D326F">
            <w:pPr>
              <w:pStyle w:val="BodyText"/>
              <w:jc w:val="center"/>
              <w:rPr>
                <w:sz w:val="22"/>
                <w:szCs w:val="22"/>
              </w:rPr>
            </w:pPr>
            <w:r w:rsidRPr="00D33A0B">
              <w:rPr>
                <w:sz w:val="22"/>
                <w:szCs w:val="22"/>
              </w:rPr>
              <w:t>4.31</w:t>
            </w:r>
          </w:p>
        </w:tc>
        <w:tc>
          <w:tcPr>
            <w:tcW w:w="803" w:type="dxa"/>
          </w:tcPr>
          <w:p w:rsidR="00FF46A6" w:rsidRPr="00D33A0B" w:rsidRDefault="00FF46A6" w:rsidP="003D326F">
            <w:pPr>
              <w:pStyle w:val="BodyText"/>
              <w:jc w:val="center"/>
              <w:rPr>
                <w:sz w:val="22"/>
                <w:szCs w:val="22"/>
              </w:rPr>
            </w:pPr>
            <w:r w:rsidRPr="00D33A0B">
              <w:rPr>
                <w:sz w:val="22"/>
                <w:szCs w:val="22"/>
              </w:rPr>
              <w:t>4.41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4.26</w:t>
            </w:r>
          </w:p>
        </w:tc>
        <w:tc>
          <w:tcPr>
            <w:tcW w:w="756" w:type="dxa"/>
          </w:tcPr>
          <w:p w:rsidR="00FF46A6" w:rsidRPr="00D33A0B" w:rsidRDefault="00FF46A6" w:rsidP="003D326F">
            <w:pPr>
              <w:pStyle w:val="BodyText"/>
              <w:jc w:val="center"/>
              <w:rPr>
                <w:sz w:val="22"/>
                <w:szCs w:val="22"/>
              </w:rPr>
            </w:pPr>
            <w:r w:rsidRPr="00D33A0B">
              <w:rPr>
                <w:sz w:val="22"/>
                <w:szCs w:val="22"/>
              </w:rPr>
              <w:t>4.28</w:t>
            </w:r>
          </w:p>
        </w:tc>
        <w:tc>
          <w:tcPr>
            <w:tcW w:w="756" w:type="dxa"/>
          </w:tcPr>
          <w:p w:rsidR="00FF46A6" w:rsidRPr="00D33A0B" w:rsidRDefault="00FF46A6" w:rsidP="003D326F">
            <w:pPr>
              <w:pStyle w:val="BodyText"/>
              <w:jc w:val="center"/>
              <w:rPr>
                <w:sz w:val="22"/>
                <w:szCs w:val="22"/>
              </w:rPr>
            </w:pPr>
            <w:r w:rsidRPr="00D33A0B">
              <w:rPr>
                <w:sz w:val="22"/>
                <w:szCs w:val="22"/>
              </w:rPr>
              <w:t>4.20</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4.33</w:t>
            </w:r>
          </w:p>
        </w:tc>
        <w:tc>
          <w:tcPr>
            <w:tcW w:w="756" w:type="dxa"/>
          </w:tcPr>
          <w:p w:rsidR="00FF46A6" w:rsidRPr="00D33A0B" w:rsidRDefault="00FF46A6" w:rsidP="003D326F">
            <w:pPr>
              <w:pStyle w:val="BodyText"/>
              <w:jc w:val="center"/>
              <w:rPr>
                <w:sz w:val="22"/>
                <w:szCs w:val="22"/>
              </w:rPr>
            </w:pPr>
            <w:r w:rsidRPr="00D33A0B">
              <w:rPr>
                <w:sz w:val="22"/>
                <w:szCs w:val="22"/>
              </w:rPr>
              <w:t>4.24</w:t>
            </w:r>
          </w:p>
        </w:tc>
        <w:tc>
          <w:tcPr>
            <w:tcW w:w="756" w:type="dxa"/>
          </w:tcPr>
          <w:p w:rsidR="00FF46A6" w:rsidRPr="00D33A0B" w:rsidRDefault="00FF46A6" w:rsidP="003D326F">
            <w:pPr>
              <w:pStyle w:val="BodyText"/>
              <w:jc w:val="center"/>
              <w:rPr>
                <w:sz w:val="22"/>
                <w:szCs w:val="22"/>
              </w:rPr>
            </w:pPr>
            <w:r w:rsidRPr="00D33A0B">
              <w:rPr>
                <w:sz w:val="22"/>
                <w:szCs w:val="22"/>
              </w:rPr>
              <w:t>4.34</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4.31</w:t>
            </w:r>
          </w:p>
        </w:tc>
        <w:tc>
          <w:tcPr>
            <w:tcW w:w="803" w:type="dxa"/>
          </w:tcPr>
          <w:p w:rsidR="00FF46A6" w:rsidRPr="00D33A0B" w:rsidRDefault="00FF46A6" w:rsidP="003D326F">
            <w:pPr>
              <w:pStyle w:val="BodyText"/>
              <w:jc w:val="center"/>
              <w:rPr>
                <w:sz w:val="22"/>
                <w:szCs w:val="22"/>
              </w:rPr>
            </w:pPr>
            <w:r w:rsidRPr="00D33A0B">
              <w:rPr>
                <w:sz w:val="22"/>
                <w:szCs w:val="22"/>
              </w:rPr>
              <w:t>4.40</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4.68</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28.</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4.44</w:t>
            </w:r>
          </w:p>
        </w:tc>
        <w:tc>
          <w:tcPr>
            <w:tcW w:w="803" w:type="dxa"/>
          </w:tcPr>
          <w:p w:rsidR="00FF46A6" w:rsidRPr="00D33A0B" w:rsidRDefault="00FF46A6" w:rsidP="003D326F">
            <w:pPr>
              <w:pStyle w:val="BodyText"/>
              <w:jc w:val="center"/>
              <w:rPr>
                <w:sz w:val="22"/>
                <w:szCs w:val="22"/>
              </w:rPr>
            </w:pPr>
            <w:r w:rsidRPr="00D33A0B">
              <w:rPr>
                <w:sz w:val="22"/>
                <w:szCs w:val="22"/>
              </w:rPr>
              <w:t>4.37</w:t>
            </w:r>
          </w:p>
        </w:tc>
        <w:tc>
          <w:tcPr>
            <w:tcW w:w="803" w:type="dxa"/>
          </w:tcPr>
          <w:p w:rsidR="00FF46A6" w:rsidRPr="00D33A0B" w:rsidRDefault="00FF46A6" w:rsidP="003D326F">
            <w:pPr>
              <w:pStyle w:val="BodyText"/>
              <w:jc w:val="center"/>
              <w:rPr>
                <w:sz w:val="22"/>
                <w:szCs w:val="22"/>
              </w:rPr>
            </w:pPr>
            <w:r w:rsidRPr="00D33A0B">
              <w:rPr>
                <w:sz w:val="22"/>
                <w:szCs w:val="22"/>
              </w:rPr>
              <w:t>4.51</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4.43</w:t>
            </w:r>
          </w:p>
        </w:tc>
        <w:tc>
          <w:tcPr>
            <w:tcW w:w="756" w:type="dxa"/>
          </w:tcPr>
          <w:p w:rsidR="00FF46A6" w:rsidRPr="00D33A0B" w:rsidRDefault="00FF46A6" w:rsidP="003D326F">
            <w:pPr>
              <w:pStyle w:val="BodyText"/>
              <w:jc w:val="center"/>
              <w:rPr>
                <w:sz w:val="22"/>
                <w:szCs w:val="22"/>
              </w:rPr>
            </w:pPr>
            <w:r w:rsidRPr="00D33A0B">
              <w:rPr>
                <w:sz w:val="22"/>
                <w:szCs w:val="22"/>
              </w:rPr>
              <w:t>4.38</w:t>
            </w:r>
          </w:p>
        </w:tc>
        <w:tc>
          <w:tcPr>
            <w:tcW w:w="756" w:type="dxa"/>
          </w:tcPr>
          <w:p w:rsidR="00FF46A6" w:rsidRPr="00D33A0B" w:rsidRDefault="00FF46A6" w:rsidP="003D326F">
            <w:pPr>
              <w:pStyle w:val="BodyText"/>
              <w:jc w:val="center"/>
              <w:rPr>
                <w:sz w:val="22"/>
                <w:szCs w:val="22"/>
              </w:rPr>
            </w:pPr>
            <w:r w:rsidRPr="00D33A0B">
              <w:rPr>
                <w:sz w:val="22"/>
                <w:szCs w:val="22"/>
              </w:rPr>
              <w:t>4.35</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4.49</w:t>
            </w:r>
          </w:p>
        </w:tc>
        <w:tc>
          <w:tcPr>
            <w:tcW w:w="756" w:type="dxa"/>
          </w:tcPr>
          <w:p w:rsidR="00FF46A6" w:rsidRPr="00D33A0B" w:rsidRDefault="00FF46A6" w:rsidP="003D326F">
            <w:pPr>
              <w:pStyle w:val="BodyText"/>
              <w:jc w:val="center"/>
              <w:rPr>
                <w:sz w:val="22"/>
                <w:szCs w:val="22"/>
              </w:rPr>
            </w:pPr>
            <w:r w:rsidRPr="00D33A0B">
              <w:rPr>
                <w:sz w:val="22"/>
                <w:szCs w:val="22"/>
              </w:rPr>
              <w:t>4.24</w:t>
            </w:r>
          </w:p>
        </w:tc>
        <w:tc>
          <w:tcPr>
            <w:tcW w:w="756" w:type="dxa"/>
          </w:tcPr>
          <w:p w:rsidR="00FF46A6" w:rsidRPr="00D33A0B" w:rsidRDefault="00FF46A6" w:rsidP="003D326F">
            <w:pPr>
              <w:pStyle w:val="BodyText"/>
              <w:jc w:val="center"/>
              <w:rPr>
                <w:sz w:val="22"/>
                <w:szCs w:val="22"/>
              </w:rPr>
            </w:pPr>
            <w:r w:rsidRPr="00D33A0B">
              <w:rPr>
                <w:sz w:val="22"/>
                <w:szCs w:val="22"/>
              </w:rPr>
              <w:t>4.45</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4.40</w:t>
            </w:r>
          </w:p>
        </w:tc>
        <w:tc>
          <w:tcPr>
            <w:tcW w:w="803" w:type="dxa"/>
          </w:tcPr>
          <w:p w:rsidR="00FF46A6" w:rsidRPr="00D33A0B" w:rsidRDefault="00FF46A6" w:rsidP="003D326F">
            <w:pPr>
              <w:pStyle w:val="BodyText"/>
              <w:jc w:val="center"/>
              <w:rPr>
                <w:sz w:val="22"/>
                <w:szCs w:val="22"/>
              </w:rPr>
            </w:pPr>
            <w:r w:rsidRPr="00D33A0B">
              <w:rPr>
                <w:sz w:val="22"/>
                <w:szCs w:val="22"/>
              </w:rPr>
              <w:t>4.50</w:t>
            </w:r>
          </w:p>
        </w:tc>
        <w:tc>
          <w:tcPr>
            <w:cnfStyle w:val="000100000000"/>
            <w:tcW w:w="804" w:type="dxa"/>
          </w:tcPr>
          <w:p w:rsidR="00FF46A6" w:rsidRPr="00D33A0B" w:rsidRDefault="00FF46A6" w:rsidP="003D326F">
            <w:pPr>
              <w:pStyle w:val="BodyText"/>
              <w:jc w:val="center"/>
              <w:rPr>
                <w:b w:val="0"/>
                <w:sz w:val="22"/>
                <w:szCs w:val="22"/>
              </w:rPr>
            </w:pPr>
            <w:r w:rsidRPr="00D33A0B">
              <w:rPr>
                <w:b w:val="0"/>
                <w:sz w:val="22"/>
                <w:szCs w:val="22"/>
              </w:rPr>
              <w:t>4.72</w:t>
            </w:r>
          </w:p>
        </w:tc>
      </w:tr>
      <w:tr w:rsidR="00FF46A6" w:rsidRPr="00D33A0B" w:rsidTr="003D326F">
        <w:tc>
          <w:tcPr>
            <w:tcW w:w="528" w:type="dxa"/>
          </w:tcPr>
          <w:p w:rsidR="00FF46A6" w:rsidRPr="00D33A0B" w:rsidRDefault="00FF46A6" w:rsidP="003D326F">
            <w:pPr>
              <w:pStyle w:val="BodyText"/>
              <w:rPr>
                <w:sz w:val="22"/>
                <w:szCs w:val="22"/>
              </w:rPr>
            </w:pPr>
            <w:r w:rsidRPr="00D33A0B">
              <w:rPr>
                <w:sz w:val="22"/>
                <w:szCs w:val="22"/>
              </w:rPr>
              <w:t>29.</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4.53</w:t>
            </w:r>
          </w:p>
        </w:tc>
        <w:tc>
          <w:tcPr>
            <w:tcW w:w="803" w:type="dxa"/>
          </w:tcPr>
          <w:p w:rsidR="00FF46A6" w:rsidRPr="00D33A0B" w:rsidRDefault="00FF46A6" w:rsidP="003D326F">
            <w:pPr>
              <w:pStyle w:val="BodyText"/>
              <w:jc w:val="center"/>
              <w:rPr>
                <w:sz w:val="22"/>
                <w:szCs w:val="22"/>
              </w:rPr>
            </w:pPr>
            <w:r w:rsidRPr="00D33A0B">
              <w:rPr>
                <w:sz w:val="22"/>
                <w:szCs w:val="22"/>
              </w:rPr>
              <w:t>4.42</w:t>
            </w:r>
          </w:p>
        </w:tc>
        <w:tc>
          <w:tcPr>
            <w:tcW w:w="803" w:type="dxa"/>
          </w:tcPr>
          <w:p w:rsidR="00FF46A6" w:rsidRPr="00D33A0B" w:rsidRDefault="00FF46A6" w:rsidP="003D326F">
            <w:pPr>
              <w:pStyle w:val="BodyText"/>
              <w:jc w:val="center"/>
              <w:rPr>
                <w:sz w:val="22"/>
                <w:szCs w:val="22"/>
              </w:rPr>
            </w:pPr>
            <w:r w:rsidRPr="00D33A0B">
              <w:rPr>
                <w:sz w:val="22"/>
                <w:szCs w:val="22"/>
              </w:rPr>
              <w:t>4.52</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4.47</w:t>
            </w:r>
          </w:p>
        </w:tc>
        <w:tc>
          <w:tcPr>
            <w:tcW w:w="756" w:type="dxa"/>
          </w:tcPr>
          <w:p w:rsidR="00FF46A6" w:rsidRPr="00D33A0B" w:rsidRDefault="00FF46A6" w:rsidP="003D326F">
            <w:pPr>
              <w:pStyle w:val="BodyText"/>
              <w:jc w:val="center"/>
              <w:rPr>
                <w:sz w:val="22"/>
                <w:szCs w:val="22"/>
              </w:rPr>
            </w:pPr>
            <w:r w:rsidRPr="00D33A0B">
              <w:rPr>
                <w:sz w:val="22"/>
                <w:szCs w:val="22"/>
              </w:rPr>
              <w:t>4.40</w:t>
            </w:r>
          </w:p>
        </w:tc>
        <w:tc>
          <w:tcPr>
            <w:tcW w:w="756" w:type="dxa"/>
          </w:tcPr>
          <w:p w:rsidR="00FF46A6" w:rsidRPr="00D33A0B" w:rsidRDefault="00FF46A6" w:rsidP="003D326F">
            <w:pPr>
              <w:pStyle w:val="BodyText"/>
              <w:jc w:val="center"/>
              <w:rPr>
                <w:sz w:val="22"/>
                <w:szCs w:val="22"/>
              </w:rPr>
            </w:pPr>
            <w:r w:rsidRPr="00D33A0B">
              <w:rPr>
                <w:sz w:val="22"/>
                <w:szCs w:val="22"/>
              </w:rPr>
              <w:t>4.23</w:t>
            </w:r>
          </w:p>
        </w:tc>
        <w:tc>
          <w:tcPr>
            <w:tcW w:w="756"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4.58</w:t>
            </w:r>
          </w:p>
        </w:tc>
        <w:tc>
          <w:tcPr>
            <w:tcW w:w="756" w:type="dxa"/>
          </w:tcPr>
          <w:p w:rsidR="00FF46A6" w:rsidRPr="00D33A0B" w:rsidRDefault="00FF46A6" w:rsidP="003D326F">
            <w:pPr>
              <w:pStyle w:val="BodyText"/>
              <w:jc w:val="center"/>
              <w:rPr>
                <w:sz w:val="22"/>
                <w:szCs w:val="22"/>
              </w:rPr>
            </w:pPr>
            <w:r w:rsidRPr="00D33A0B">
              <w:rPr>
                <w:sz w:val="22"/>
                <w:szCs w:val="22"/>
              </w:rPr>
              <w:t>4.33</w:t>
            </w:r>
          </w:p>
        </w:tc>
        <w:tc>
          <w:tcPr>
            <w:tcW w:w="756" w:type="dxa"/>
          </w:tcPr>
          <w:p w:rsidR="00FF46A6" w:rsidRPr="00D33A0B" w:rsidRDefault="00FF46A6" w:rsidP="003D326F">
            <w:pPr>
              <w:pStyle w:val="BodyText"/>
              <w:jc w:val="center"/>
              <w:rPr>
                <w:sz w:val="22"/>
                <w:szCs w:val="22"/>
              </w:rPr>
            </w:pPr>
            <w:r w:rsidRPr="00D33A0B">
              <w:rPr>
                <w:sz w:val="22"/>
                <w:szCs w:val="22"/>
              </w:rPr>
              <w:t>4.60</w:t>
            </w:r>
          </w:p>
        </w:tc>
        <w:tc>
          <w:tcPr>
            <w:tcW w:w="803" w:type="dxa"/>
            <w:shd w:val="clear" w:color="auto" w:fill="D9D9D9" w:themeFill="background1" w:themeFillShade="D9"/>
          </w:tcPr>
          <w:p w:rsidR="00FF46A6" w:rsidRPr="00D33A0B" w:rsidRDefault="00FF46A6" w:rsidP="003D326F">
            <w:pPr>
              <w:pStyle w:val="BodyText"/>
              <w:jc w:val="center"/>
              <w:rPr>
                <w:b/>
                <w:sz w:val="22"/>
                <w:szCs w:val="22"/>
              </w:rPr>
            </w:pPr>
            <w:r w:rsidRPr="00D33A0B">
              <w:rPr>
                <w:b/>
                <w:sz w:val="22"/>
                <w:szCs w:val="22"/>
              </w:rPr>
              <w:t>4.55</w:t>
            </w:r>
          </w:p>
        </w:tc>
        <w:tc>
          <w:tcPr>
            <w:tcW w:w="803" w:type="dxa"/>
          </w:tcPr>
          <w:p w:rsidR="00FF46A6" w:rsidRPr="00D33A0B" w:rsidRDefault="00FF46A6" w:rsidP="003D326F">
            <w:pPr>
              <w:pStyle w:val="BodyText"/>
              <w:jc w:val="center"/>
              <w:rPr>
                <w:sz w:val="22"/>
                <w:szCs w:val="22"/>
              </w:rPr>
            </w:pPr>
            <w:r w:rsidRPr="00D33A0B">
              <w:rPr>
                <w:sz w:val="22"/>
                <w:szCs w:val="22"/>
              </w:rPr>
              <w:t>4.54</w:t>
            </w:r>
          </w:p>
        </w:tc>
        <w:tc>
          <w:tcPr>
            <w:cnfStyle w:val="000100000000"/>
            <w:tcW w:w="804" w:type="dxa"/>
          </w:tcPr>
          <w:p w:rsidR="00FF46A6" w:rsidRPr="00D33A0B" w:rsidRDefault="00FF46A6" w:rsidP="003D326F">
            <w:pPr>
              <w:pStyle w:val="BodyText"/>
              <w:jc w:val="center"/>
              <w:rPr>
                <w:b w:val="0"/>
                <w:bCs w:val="0"/>
                <w:sz w:val="22"/>
                <w:szCs w:val="22"/>
              </w:rPr>
            </w:pPr>
            <w:r w:rsidRPr="00D33A0B">
              <w:rPr>
                <w:b w:val="0"/>
                <w:bCs w:val="0"/>
                <w:sz w:val="22"/>
                <w:szCs w:val="22"/>
              </w:rPr>
              <w:t>4.75</w:t>
            </w:r>
          </w:p>
        </w:tc>
      </w:tr>
      <w:tr w:rsidR="00FF46A6" w:rsidRPr="00D33A0B" w:rsidTr="003D326F">
        <w:trPr>
          <w:cnfStyle w:val="010000000000"/>
        </w:trPr>
        <w:tc>
          <w:tcPr>
            <w:tcW w:w="528" w:type="dxa"/>
          </w:tcPr>
          <w:p w:rsidR="00FF46A6" w:rsidRPr="00D33A0B" w:rsidRDefault="00FF46A6" w:rsidP="003D326F">
            <w:pPr>
              <w:pStyle w:val="BodyText"/>
              <w:rPr>
                <w:sz w:val="22"/>
                <w:szCs w:val="22"/>
              </w:rPr>
            </w:pPr>
            <w:r w:rsidRPr="00D33A0B">
              <w:rPr>
                <w:sz w:val="22"/>
                <w:szCs w:val="22"/>
              </w:rPr>
              <w:t>M:</w:t>
            </w:r>
          </w:p>
        </w:tc>
        <w:tc>
          <w:tcPr>
            <w:tcW w:w="803" w:type="dxa"/>
            <w:shd w:val="clear" w:color="auto" w:fill="000000" w:themeFill="text1"/>
          </w:tcPr>
          <w:p w:rsidR="00FF46A6" w:rsidRPr="00D33A0B" w:rsidRDefault="00FF46A6" w:rsidP="003D326F">
            <w:pPr>
              <w:pStyle w:val="BodyText"/>
              <w:jc w:val="center"/>
              <w:rPr>
                <w:b w:val="0"/>
                <w:sz w:val="22"/>
                <w:szCs w:val="22"/>
              </w:rPr>
            </w:pPr>
            <w:r w:rsidRPr="00D33A0B">
              <w:rPr>
                <w:sz w:val="22"/>
                <w:szCs w:val="22"/>
              </w:rPr>
              <w:t>4.25</w:t>
            </w:r>
          </w:p>
        </w:tc>
        <w:tc>
          <w:tcPr>
            <w:tcW w:w="803" w:type="dxa"/>
          </w:tcPr>
          <w:p w:rsidR="00FF46A6" w:rsidRPr="00D33A0B" w:rsidRDefault="00FF46A6" w:rsidP="003D326F">
            <w:pPr>
              <w:pStyle w:val="BodyText"/>
              <w:jc w:val="center"/>
              <w:rPr>
                <w:sz w:val="22"/>
                <w:szCs w:val="22"/>
              </w:rPr>
            </w:pPr>
            <w:r w:rsidRPr="00D33A0B">
              <w:rPr>
                <w:b w:val="0"/>
                <w:bCs w:val="0"/>
                <w:sz w:val="22"/>
                <w:szCs w:val="22"/>
              </w:rPr>
              <w:t>4.20</w:t>
            </w:r>
          </w:p>
        </w:tc>
        <w:tc>
          <w:tcPr>
            <w:tcW w:w="803" w:type="dxa"/>
          </w:tcPr>
          <w:p w:rsidR="00FF46A6" w:rsidRPr="00D33A0B" w:rsidRDefault="00FF46A6" w:rsidP="003D326F">
            <w:pPr>
              <w:pStyle w:val="BodyText"/>
              <w:jc w:val="center"/>
              <w:rPr>
                <w:sz w:val="22"/>
                <w:szCs w:val="22"/>
              </w:rPr>
            </w:pPr>
            <w:r w:rsidRPr="00D33A0B">
              <w:rPr>
                <w:b w:val="0"/>
                <w:bCs w:val="0"/>
                <w:sz w:val="22"/>
                <w:szCs w:val="22"/>
              </w:rPr>
              <w:t>4.25</w:t>
            </w:r>
          </w:p>
        </w:tc>
        <w:tc>
          <w:tcPr>
            <w:tcW w:w="756" w:type="dxa"/>
            <w:shd w:val="clear" w:color="auto" w:fill="000000" w:themeFill="text1"/>
          </w:tcPr>
          <w:p w:rsidR="00FF46A6" w:rsidRPr="00D33A0B" w:rsidRDefault="00FF46A6" w:rsidP="003D326F">
            <w:pPr>
              <w:pStyle w:val="BodyText"/>
              <w:jc w:val="center"/>
              <w:rPr>
                <w:b w:val="0"/>
                <w:sz w:val="22"/>
                <w:szCs w:val="22"/>
              </w:rPr>
            </w:pPr>
            <w:r w:rsidRPr="00D33A0B">
              <w:rPr>
                <w:sz w:val="22"/>
                <w:szCs w:val="22"/>
              </w:rPr>
              <w:t>4.23</w:t>
            </w:r>
          </w:p>
        </w:tc>
        <w:tc>
          <w:tcPr>
            <w:tcW w:w="756" w:type="dxa"/>
          </w:tcPr>
          <w:p w:rsidR="00FF46A6" w:rsidRPr="00D33A0B" w:rsidRDefault="00FF46A6" w:rsidP="003D326F">
            <w:pPr>
              <w:pStyle w:val="BodyText"/>
              <w:jc w:val="center"/>
              <w:rPr>
                <w:sz w:val="22"/>
                <w:szCs w:val="22"/>
              </w:rPr>
            </w:pPr>
            <w:r w:rsidRPr="00D33A0B">
              <w:rPr>
                <w:b w:val="0"/>
                <w:bCs w:val="0"/>
                <w:sz w:val="22"/>
                <w:szCs w:val="22"/>
              </w:rPr>
              <w:t>4.16</w:t>
            </w:r>
          </w:p>
        </w:tc>
        <w:tc>
          <w:tcPr>
            <w:tcW w:w="756" w:type="dxa"/>
          </w:tcPr>
          <w:p w:rsidR="00FF46A6" w:rsidRPr="00D33A0B" w:rsidRDefault="00FF46A6" w:rsidP="003D326F">
            <w:pPr>
              <w:pStyle w:val="BodyText"/>
              <w:jc w:val="center"/>
              <w:rPr>
                <w:sz w:val="22"/>
                <w:szCs w:val="22"/>
              </w:rPr>
            </w:pPr>
            <w:r w:rsidRPr="00D33A0B">
              <w:rPr>
                <w:b w:val="0"/>
                <w:bCs w:val="0"/>
                <w:sz w:val="22"/>
                <w:szCs w:val="22"/>
              </w:rPr>
              <w:t>4.09</w:t>
            </w:r>
          </w:p>
        </w:tc>
        <w:tc>
          <w:tcPr>
            <w:tcW w:w="756" w:type="dxa"/>
            <w:shd w:val="clear" w:color="auto" w:fill="000000" w:themeFill="text1"/>
          </w:tcPr>
          <w:p w:rsidR="00FF46A6" w:rsidRPr="00D33A0B" w:rsidRDefault="00FF46A6" w:rsidP="003D326F">
            <w:pPr>
              <w:pStyle w:val="BodyText"/>
              <w:jc w:val="center"/>
              <w:rPr>
                <w:b w:val="0"/>
                <w:sz w:val="22"/>
                <w:szCs w:val="22"/>
              </w:rPr>
            </w:pPr>
            <w:r w:rsidRPr="00D33A0B">
              <w:rPr>
                <w:bCs w:val="0"/>
                <w:sz w:val="22"/>
                <w:szCs w:val="22"/>
              </w:rPr>
              <w:t>4.25</w:t>
            </w:r>
          </w:p>
        </w:tc>
        <w:tc>
          <w:tcPr>
            <w:tcW w:w="756" w:type="dxa"/>
          </w:tcPr>
          <w:p w:rsidR="00FF46A6" w:rsidRPr="00D33A0B" w:rsidRDefault="00FF46A6" w:rsidP="003D326F">
            <w:pPr>
              <w:pStyle w:val="BodyText"/>
              <w:jc w:val="center"/>
              <w:rPr>
                <w:sz w:val="22"/>
                <w:szCs w:val="22"/>
              </w:rPr>
            </w:pPr>
            <w:r w:rsidRPr="00D33A0B">
              <w:rPr>
                <w:b w:val="0"/>
                <w:bCs w:val="0"/>
                <w:sz w:val="22"/>
                <w:szCs w:val="22"/>
              </w:rPr>
              <w:t>4.12</w:t>
            </w:r>
          </w:p>
        </w:tc>
        <w:tc>
          <w:tcPr>
            <w:tcW w:w="756" w:type="dxa"/>
          </w:tcPr>
          <w:p w:rsidR="00FF46A6" w:rsidRPr="00D33A0B" w:rsidRDefault="00FF46A6" w:rsidP="003D326F">
            <w:pPr>
              <w:pStyle w:val="BodyText"/>
              <w:jc w:val="center"/>
              <w:rPr>
                <w:sz w:val="22"/>
                <w:szCs w:val="22"/>
              </w:rPr>
            </w:pPr>
            <w:r w:rsidRPr="00D33A0B">
              <w:rPr>
                <w:b w:val="0"/>
                <w:bCs w:val="0"/>
                <w:sz w:val="22"/>
                <w:szCs w:val="22"/>
              </w:rPr>
              <w:t>4.26</w:t>
            </w:r>
          </w:p>
        </w:tc>
        <w:tc>
          <w:tcPr>
            <w:tcW w:w="803" w:type="dxa"/>
            <w:shd w:val="clear" w:color="auto" w:fill="000000" w:themeFill="text1"/>
          </w:tcPr>
          <w:p w:rsidR="00FF46A6" w:rsidRPr="00D33A0B" w:rsidRDefault="00FF46A6" w:rsidP="003D326F">
            <w:pPr>
              <w:pStyle w:val="BodyText"/>
              <w:jc w:val="center"/>
              <w:rPr>
                <w:b w:val="0"/>
                <w:sz w:val="22"/>
                <w:szCs w:val="22"/>
              </w:rPr>
            </w:pPr>
            <w:r w:rsidRPr="00D33A0B">
              <w:rPr>
                <w:bCs w:val="0"/>
                <w:sz w:val="22"/>
                <w:szCs w:val="22"/>
              </w:rPr>
              <w:t>4.27</w:t>
            </w:r>
          </w:p>
        </w:tc>
        <w:tc>
          <w:tcPr>
            <w:tcW w:w="803" w:type="dxa"/>
          </w:tcPr>
          <w:p w:rsidR="00FF46A6" w:rsidRPr="00D33A0B" w:rsidRDefault="00FF46A6" w:rsidP="003D326F">
            <w:pPr>
              <w:pStyle w:val="BodyText"/>
              <w:jc w:val="center"/>
              <w:rPr>
                <w:sz w:val="22"/>
                <w:szCs w:val="22"/>
              </w:rPr>
            </w:pPr>
            <w:r w:rsidRPr="00D33A0B">
              <w:rPr>
                <w:b w:val="0"/>
                <w:bCs w:val="0"/>
                <w:sz w:val="22"/>
                <w:szCs w:val="22"/>
              </w:rPr>
              <w:t>4.33</w:t>
            </w:r>
          </w:p>
        </w:tc>
        <w:tc>
          <w:tcPr>
            <w:cnfStyle w:val="000100000000"/>
            <w:tcW w:w="804" w:type="dxa"/>
          </w:tcPr>
          <w:p w:rsidR="00FF46A6" w:rsidRPr="00D33A0B" w:rsidRDefault="00FF46A6" w:rsidP="003D326F">
            <w:pPr>
              <w:pStyle w:val="BodyText"/>
              <w:jc w:val="center"/>
              <w:rPr>
                <w:sz w:val="22"/>
                <w:szCs w:val="22"/>
              </w:rPr>
            </w:pPr>
            <w:r w:rsidRPr="00D33A0B">
              <w:rPr>
                <w:b w:val="0"/>
                <w:bCs w:val="0"/>
                <w:sz w:val="22"/>
                <w:szCs w:val="22"/>
              </w:rPr>
              <w:t>4.40</w:t>
            </w:r>
          </w:p>
        </w:tc>
      </w:tr>
    </w:tbl>
    <w:p w:rsidR="00E5449B" w:rsidRPr="00D33A0B" w:rsidRDefault="00E5449B" w:rsidP="00E5449B">
      <w:pPr>
        <w:pStyle w:val="BodyText"/>
        <w:rPr>
          <w:i/>
          <w:sz w:val="20"/>
          <w:szCs w:val="20"/>
          <w:lang w:val="en-US"/>
        </w:rPr>
      </w:pPr>
    </w:p>
    <w:p w:rsidR="00E5449B" w:rsidRPr="00D33A0B" w:rsidRDefault="00E5449B" w:rsidP="00E5449B">
      <w:pPr>
        <w:pStyle w:val="BodyText"/>
        <w:rPr>
          <w:i/>
          <w:sz w:val="20"/>
          <w:szCs w:val="20"/>
        </w:rPr>
      </w:pPr>
      <w:r w:rsidRPr="00D33A0B">
        <w:rPr>
          <w:i/>
          <w:sz w:val="20"/>
          <w:szCs w:val="20"/>
          <w:lang w:val="en-US"/>
        </w:rPr>
        <w:t>(</w:t>
      </w:r>
      <w:r w:rsidRPr="00D33A0B">
        <w:rPr>
          <w:b/>
          <w:i/>
          <w:sz w:val="20"/>
          <w:szCs w:val="20"/>
          <w:lang w:val="en-US"/>
        </w:rPr>
        <w:t>Pitanja:</w:t>
      </w:r>
      <w:r w:rsidRPr="00D33A0B">
        <w:rPr>
          <w:sz w:val="20"/>
          <w:szCs w:val="20"/>
          <w:lang w:val="en-US"/>
        </w:rPr>
        <w:t xml:space="preserve"> </w:t>
      </w:r>
      <w:r w:rsidRPr="00D33A0B">
        <w:rPr>
          <w:i/>
          <w:sz w:val="20"/>
          <w:szCs w:val="20"/>
          <w:lang w:val="en-US"/>
        </w:rPr>
        <w:t xml:space="preserve">1. </w:t>
      </w:r>
      <w:r w:rsidRPr="00D33A0B">
        <w:rPr>
          <w:i/>
          <w:sz w:val="20"/>
          <w:szCs w:val="20"/>
        </w:rPr>
        <w:t>Ljepota prirode i okruženja, 2. Pogodnost za provodenje porodičnog odmora, 3. Kvalitet usluga u smještajnom objektu, 4. Ljubaznost osoblja u smještajnom objektu, 5. Kvalitet hrane u smještajnom objektu, 6. Komfor smještaja, 7. „Vrijednost za novac“ smještaja, 8. Kvalitet hrane u restoranima van smještajnog objekta, 9. Bogastvo gastronomske ponude u mjestu, 10. „Vrijednost za novac“ gastronom. Ponude, 11. Gostoljubivost lokalnog stanovništva, 12. Čistoća grada, 13. Čistoća, uređenost i opremljenost plaža, 14. Ponuda organiz.izleta u okruženju Tivta, 15. Bogastvo sportskih sadržaja, 16. Bogastvo sadržaja za zabavu, 17. Raznolikost kulturnih manifestacija, 18. Prometna dostupnost mjesta, 19. Kvalitet lokalnog prevoza, 20. Saobracaj sa ostalim mjestima, 21. Prezentacija kulturne baštine, 22. Mogucnost za kupovinu, 23. Ocijena radnog vremena trgovine, 24. Kvalitet informacija, 25. Tišina i mir, 26. Ekološka očuvanost, 27. „Vrijednost za novac“ ukupnog boravka, 28. Ukupan boravak, 29. Sigurnost)</w:t>
      </w:r>
    </w:p>
    <w:p w:rsidR="00BA2BC1" w:rsidRPr="00D33A0B" w:rsidRDefault="00BA2BC1" w:rsidP="00E5449B">
      <w:pPr>
        <w:pStyle w:val="BodyText"/>
        <w:rPr>
          <w:i/>
          <w:sz w:val="20"/>
          <w:szCs w:val="20"/>
        </w:rPr>
      </w:pPr>
    </w:p>
    <w:p w:rsidR="002A1B7D" w:rsidRPr="00D33A0B" w:rsidRDefault="002A1B7D" w:rsidP="00E5449B">
      <w:pPr>
        <w:pStyle w:val="BodyText"/>
        <w:rPr>
          <w:i/>
          <w:sz w:val="20"/>
          <w:szCs w:val="20"/>
        </w:rPr>
      </w:pPr>
    </w:p>
    <w:p w:rsidR="00FF46A6" w:rsidRPr="00D33A0B" w:rsidRDefault="00FF46A6" w:rsidP="00FF46A6">
      <w:pPr>
        <w:pStyle w:val="BodyText"/>
      </w:pPr>
      <w:r w:rsidRPr="00D33A0B">
        <w:rPr>
          <w:b/>
          <w:i/>
        </w:rPr>
        <w:lastRenderedPageBreak/>
        <w:t>Ukupna prosječna ocjena (4,25),</w:t>
      </w:r>
      <w:r w:rsidRPr="00D33A0B">
        <w:t xml:space="preserve"> posmatrajući cjelokupni uzorak, je ista kao i 2013. godine kada je bila najbolja godina po ocjeni turista od kada se radi anketa na području opštine Tivat. Na nivou poduzoraka, najviši opšti stepen zadovoljstva možemo konstatovati na poduzorku „engleskih“ turista, dok su „najmanje“ zadovoljni turisti koji su anketu popunili na crnogorskom jeziku, iako su ove razlike male. U odnosu na 2015. godinu (4.20) imamo rast ukupne prosječne ocjene i možemo konstatovati, iz ugla rezultata ankete turista 2016., da je ovogodišnja turistička sezona prošla dobro i da su gosti više nego zadovoljni svim elementima turističke ponude Tivta.</w:t>
      </w:r>
    </w:p>
    <w:p w:rsidR="00FF46A6" w:rsidRPr="00D33A0B" w:rsidRDefault="00FF46A6" w:rsidP="00FF46A6">
      <w:pPr>
        <w:pStyle w:val="BodyText"/>
        <w:rPr>
          <w:bCs/>
          <w:i/>
        </w:rPr>
      </w:pPr>
      <w:r w:rsidRPr="00D33A0B">
        <w:rPr>
          <w:bCs/>
        </w:rPr>
        <w:t xml:space="preserve">Elementi/aspekti turističke ponude Tivta kojima su turisti na nivou cjelokupnog uzorka </w:t>
      </w:r>
      <w:r w:rsidRPr="00D33A0B">
        <w:rPr>
          <w:bCs/>
          <w:u w:val="single"/>
        </w:rPr>
        <w:t>najzadovoljniji</w:t>
      </w:r>
      <w:r w:rsidRPr="00D33A0B">
        <w:rPr>
          <w:bCs/>
        </w:rPr>
        <w:t xml:space="preserve"> su: </w:t>
      </w:r>
      <w:r w:rsidRPr="00D33A0B">
        <w:rPr>
          <w:b/>
          <w:bCs/>
          <w:i/>
        </w:rPr>
        <w:t>ljepota prirode i okruženja (4.60), sigurnost (4.53), ukupan boravak (4.44), gostoljubivost lokalnog stanovništva (4.40), ljubaznost osoblja u smještajnom objektu (4.40).</w:t>
      </w:r>
    </w:p>
    <w:p w:rsidR="00FF46A6" w:rsidRPr="00D33A0B" w:rsidRDefault="00FF46A6" w:rsidP="00FF46A6">
      <w:pPr>
        <w:pStyle w:val="BodyText"/>
      </w:pPr>
      <w:r w:rsidRPr="00D33A0B">
        <w:rPr>
          <w:bCs/>
        </w:rPr>
        <w:t xml:space="preserve">Elementi/aspekti turističke ponude Tivta kojima su turisti, generalno posmatrano, </w:t>
      </w:r>
      <w:r w:rsidRPr="00D33A0B">
        <w:rPr>
          <w:bCs/>
          <w:u w:val="single"/>
        </w:rPr>
        <w:t xml:space="preserve">najmanje ili, preciznije rečeno, nešto manje zadovoljni </w:t>
      </w:r>
      <w:r w:rsidRPr="00D33A0B">
        <w:rPr>
          <w:bCs/>
        </w:rPr>
        <w:t xml:space="preserve">su: </w:t>
      </w:r>
      <w:r w:rsidRPr="00D33A0B">
        <w:rPr>
          <w:b/>
          <w:i/>
        </w:rPr>
        <w:t>kvalitet lokalnog prevoza (Lepetani - Krašići) (3.93) i saobracaj sa ostalim mjestima (3.95).</w:t>
      </w:r>
      <w:r w:rsidRPr="00D33A0B">
        <w:t xml:space="preserve"> Ovo su ujedno i „najlošije“ ocjene na nivou cjelokupnog uzorka, sve ostale ocjene su preko 4.00.</w:t>
      </w:r>
    </w:p>
    <w:p w:rsidR="00FF46A6" w:rsidRPr="00D33A0B" w:rsidRDefault="00FF46A6" w:rsidP="00FF46A6">
      <w:pPr>
        <w:pStyle w:val="BodyText"/>
        <w:rPr>
          <w:bCs/>
        </w:rPr>
      </w:pPr>
      <w:r w:rsidRPr="00D33A0B">
        <w:rPr>
          <w:bCs/>
        </w:rPr>
        <w:t xml:space="preserve">Analiza različitih elemenata turističke ponude Tivta na poduzorcima pokazuje da su turisti koji su popunili anketu na svim jezicima (crnogorski, engleski i ruski) ispoljili približno isti stepen zadovoljstva u odnosu na gotovo sve posmatrane elemente. Najniže ocjene su dali „engleski“ gosti na elemente </w:t>
      </w:r>
      <w:r w:rsidRPr="00D33A0B">
        <w:rPr>
          <w:b/>
          <w:i/>
        </w:rPr>
        <w:t>saobracaj sa ostalim mjestima (3.82) i kvalitet lokalnog prevoza (Lepetani - Krašići) (3.86).</w:t>
      </w:r>
      <w:r w:rsidRPr="00D33A0B">
        <w:t xml:space="preserve"> Najveća ocjena je bila takođe kod „engleskih“ turista </w:t>
      </w:r>
      <w:r w:rsidRPr="00D33A0B">
        <w:rPr>
          <w:b/>
          <w:bCs/>
          <w:i/>
        </w:rPr>
        <w:t>ljepota prirode i okruženja (4.64).</w:t>
      </w:r>
      <w:r w:rsidRPr="00D33A0B">
        <w:rPr>
          <w:bCs/>
        </w:rPr>
        <w:t xml:space="preserve"> Kad su ruski turisti u pitanju primjećujemo da su sve ocjene preko 4.00 izuzev </w:t>
      </w:r>
      <w:r w:rsidRPr="00D33A0B">
        <w:rPr>
          <w:b/>
          <w:i/>
        </w:rPr>
        <w:t>kvalitet lokalnog prevoza (Lepetani - Krašići) (3.99).</w:t>
      </w:r>
      <w:r w:rsidRPr="00D33A0B">
        <w:t xml:space="preserve"> Kod turista koji su popunili anketu na crnogorskom jeziku, najniža ocjena se odnosi na </w:t>
      </w:r>
      <w:r w:rsidRPr="00D33A0B">
        <w:rPr>
          <w:b/>
          <w:i/>
        </w:rPr>
        <w:t>kvalitet lokalnog prevoza (Lepetani - Krašići) (3.95) i saobracaj sa ostalim mjestima (3.95) i</w:t>
      </w:r>
      <w:r w:rsidRPr="00D33A0B">
        <w:t xml:space="preserve"> </w:t>
      </w:r>
      <w:r w:rsidRPr="00D33A0B">
        <w:rPr>
          <w:b/>
          <w:i/>
          <w:sz w:val="22"/>
          <w:szCs w:val="22"/>
        </w:rPr>
        <w:t>čistoća, uređenost i opremljenost plaža (3.96).</w:t>
      </w:r>
    </w:p>
    <w:p w:rsidR="00FF46A6" w:rsidRPr="00D33A0B" w:rsidRDefault="00FF46A6" w:rsidP="00FF46A6">
      <w:pPr>
        <w:pStyle w:val="BodyText"/>
        <w:rPr>
          <w:bCs/>
        </w:rPr>
      </w:pPr>
      <w:r w:rsidRPr="00D33A0B">
        <w:rPr>
          <w:bCs/>
        </w:rPr>
        <w:t xml:space="preserve">Kada je riječ o kvalitetu smještaja, usluge i hrane u smještajnom objektu interesantno je da se ocjene kreću od </w:t>
      </w:r>
      <w:r w:rsidRPr="00D33A0B">
        <w:rPr>
          <w:b/>
          <w:i/>
          <w:sz w:val="22"/>
          <w:szCs w:val="22"/>
        </w:rPr>
        <w:t>(4.28)</w:t>
      </w:r>
      <w:r w:rsidRPr="00D33A0B">
        <w:rPr>
          <w:b/>
          <w:bCs/>
          <w:i/>
        </w:rPr>
        <w:t xml:space="preserve"> </w:t>
      </w:r>
      <w:r w:rsidRPr="00D33A0B">
        <w:rPr>
          <w:b/>
          <w:i/>
          <w:sz w:val="22"/>
          <w:szCs w:val="22"/>
        </w:rPr>
        <w:t xml:space="preserve">kvalitet hrane u smještajnom objektu </w:t>
      </w:r>
      <w:r w:rsidRPr="00D33A0B">
        <w:rPr>
          <w:bCs/>
        </w:rPr>
        <w:t xml:space="preserve">(turisti koji su popunili anketu na crnogorskom jeziku), do </w:t>
      </w:r>
      <w:r w:rsidRPr="00D33A0B">
        <w:rPr>
          <w:b/>
          <w:bCs/>
          <w:i/>
        </w:rPr>
        <w:t>(4.49)</w:t>
      </w:r>
      <w:r w:rsidRPr="00D33A0B">
        <w:rPr>
          <w:bCs/>
        </w:rPr>
        <w:t xml:space="preserve"> </w:t>
      </w:r>
      <w:r w:rsidRPr="00D33A0B">
        <w:rPr>
          <w:b/>
          <w:i/>
          <w:sz w:val="22"/>
          <w:szCs w:val="22"/>
        </w:rPr>
        <w:t>ljubaznost osoblja u smještajnom objektu</w:t>
      </w:r>
      <w:r w:rsidRPr="00D33A0B">
        <w:rPr>
          <w:bCs/>
        </w:rPr>
        <w:t xml:space="preserve"> kod „engleskih“ turista.</w:t>
      </w:r>
    </w:p>
    <w:p w:rsidR="00E5449B" w:rsidRPr="00D33A0B" w:rsidRDefault="00FF46A6" w:rsidP="00FF46A6">
      <w:pPr>
        <w:jc w:val="both"/>
        <w:rPr>
          <w:lang w:val="sr-Latn-CS"/>
        </w:rPr>
      </w:pPr>
      <w:r w:rsidRPr="00D33A0B">
        <w:rPr>
          <w:bCs/>
          <w:lang w:val="sr-Latn-CS"/>
        </w:rPr>
        <w:t xml:space="preserve">Međutim, važno je imati u vidu i da su pomenuti elementi turističke ponude Tivta koje su turisti procjenili kao manje zadovoljavajuće, to samo u relativnom smislu, a da su i oni zapravo dobili vrlo dobre ocjene. </w:t>
      </w:r>
      <w:r w:rsidRPr="00D33A0B">
        <w:rPr>
          <w:bCs/>
        </w:rPr>
        <w:t xml:space="preserve">U prilog tome govori i visok stepen zadovoljastva koje su turisti na svim poduzorcima manifestovali u odnosu na </w:t>
      </w:r>
      <w:r w:rsidRPr="00D33A0B">
        <w:rPr>
          <w:b/>
          <w:bCs/>
          <w:i/>
        </w:rPr>
        <w:t>ukupan boravak u Tivtu</w:t>
      </w:r>
      <w:r w:rsidRPr="00D33A0B">
        <w:rPr>
          <w:bCs/>
        </w:rPr>
        <w:t xml:space="preserve"> </w:t>
      </w:r>
      <w:r w:rsidRPr="00D33A0B">
        <w:rPr>
          <w:b/>
          <w:bCs/>
          <w:i/>
        </w:rPr>
        <w:t>(4.44) i sigurnost (4.53)</w:t>
      </w:r>
      <w:r w:rsidRPr="00D33A0B">
        <w:rPr>
          <w:bCs/>
        </w:rPr>
        <w:t>.</w:t>
      </w:r>
    </w:p>
    <w:p w:rsidR="00E5449B" w:rsidRPr="00D33A0B" w:rsidRDefault="00E5449B" w:rsidP="00E5449B">
      <w:pPr>
        <w:jc w:val="both"/>
        <w:rPr>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jc w:val="both"/>
        <w:rPr>
          <w:bCs/>
          <w:sz w:val="28"/>
          <w:szCs w:val="28"/>
          <w:lang w:val="sr-Latn-CS"/>
        </w:rPr>
      </w:pPr>
    </w:p>
    <w:p w:rsidR="00FF46A6" w:rsidRPr="00D33A0B" w:rsidRDefault="00FF46A6" w:rsidP="00E5449B">
      <w:pPr>
        <w:jc w:val="both"/>
        <w:rPr>
          <w:bCs/>
          <w:sz w:val="28"/>
          <w:szCs w:val="28"/>
          <w:lang w:val="sr-Latn-CS"/>
        </w:rPr>
      </w:pPr>
    </w:p>
    <w:p w:rsidR="00FF46A6" w:rsidRPr="00D33A0B" w:rsidRDefault="00FF46A6" w:rsidP="00E5449B">
      <w:pPr>
        <w:jc w:val="both"/>
        <w:rPr>
          <w:bCs/>
          <w:sz w:val="28"/>
          <w:szCs w:val="28"/>
          <w:lang w:val="sr-Latn-CS"/>
        </w:rPr>
      </w:pPr>
    </w:p>
    <w:p w:rsidR="00FF46A6" w:rsidRPr="00D33A0B" w:rsidRDefault="00FF46A6" w:rsidP="00E5449B">
      <w:pPr>
        <w:jc w:val="both"/>
        <w:rPr>
          <w:bCs/>
          <w:sz w:val="28"/>
          <w:szCs w:val="28"/>
          <w:lang w:val="sr-Latn-CS"/>
        </w:rPr>
      </w:pPr>
    </w:p>
    <w:p w:rsidR="002A1B7D" w:rsidRPr="00D33A0B" w:rsidRDefault="002A1B7D" w:rsidP="00E5449B">
      <w:pPr>
        <w:jc w:val="both"/>
        <w:rPr>
          <w:bCs/>
          <w:sz w:val="28"/>
          <w:szCs w:val="28"/>
          <w:lang w:val="sr-Latn-CS"/>
        </w:rPr>
      </w:pPr>
    </w:p>
    <w:p w:rsidR="00E5449B" w:rsidRPr="00D33A0B" w:rsidRDefault="00E5449B" w:rsidP="00E5449B">
      <w:pPr>
        <w:jc w:val="both"/>
        <w:rPr>
          <w:bCs/>
          <w:sz w:val="28"/>
          <w:szCs w:val="28"/>
          <w:lang w:val="sr-Latn-CS"/>
        </w:rPr>
      </w:pPr>
    </w:p>
    <w:p w:rsidR="00E5449B" w:rsidRPr="00D33A0B" w:rsidRDefault="00E5449B" w:rsidP="00E5449B">
      <w:pPr>
        <w:numPr>
          <w:ilvl w:val="0"/>
          <w:numId w:val="16"/>
        </w:numPr>
        <w:jc w:val="both"/>
        <w:rPr>
          <w:b/>
          <w:sz w:val="28"/>
          <w:szCs w:val="28"/>
          <w:lang w:val="hr-HR"/>
        </w:rPr>
      </w:pPr>
      <w:r w:rsidRPr="00D33A0B">
        <w:rPr>
          <w:b/>
          <w:sz w:val="28"/>
          <w:szCs w:val="28"/>
          <w:lang w:val="hr-HR"/>
        </w:rPr>
        <w:lastRenderedPageBreak/>
        <w:t xml:space="preserve"> INFORMACIJA O ODVIJANJU TURISTIČKE SEZONE JAVNIH PREDUZEĆA I USTANOVA U TIVTU </w:t>
      </w:r>
    </w:p>
    <w:p w:rsidR="00E5449B" w:rsidRPr="00D33A0B" w:rsidRDefault="00E5449B" w:rsidP="00E5449B">
      <w:pPr>
        <w:jc w:val="both"/>
        <w:rPr>
          <w:b/>
          <w:sz w:val="28"/>
          <w:szCs w:val="28"/>
          <w:lang w:val="hr-HR"/>
        </w:rPr>
      </w:pPr>
    </w:p>
    <w:p w:rsidR="00E5449B" w:rsidRPr="00D33A0B" w:rsidRDefault="00E5449B" w:rsidP="00E5449B">
      <w:pPr>
        <w:jc w:val="both"/>
        <w:rPr>
          <w:b/>
          <w:sz w:val="28"/>
          <w:szCs w:val="28"/>
          <w:u w:val="single"/>
          <w:lang w:val="hr-HR"/>
        </w:rPr>
      </w:pPr>
      <w:r w:rsidRPr="00D33A0B">
        <w:rPr>
          <w:b/>
          <w:sz w:val="28"/>
          <w:szCs w:val="28"/>
          <w:u w:val="single"/>
          <w:lang w:val="sr-Latn-CS"/>
        </w:rPr>
        <w:t>AERODROM - TIVAT</w:t>
      </w:r>
    </w:p>
    <w:p w:rsidR="00E5449B" w:rsidRPr="00D33A0B" w:rsidRDefault="00E5449B" w:rsidP="00E5449B">
      <w:pPr>
        <w:rPr>
          <w:lang w:val="sr-Latn-CS"/>
        </w:rPr>
      </w:pPr>
    </w:p>
    <w:p w:rsidR="00E5449B" w:rsidRPr="00D33A0B" w:rsidRDefault="00E5449B" w:rsidP="00E5449B">
      <w:pPr>
        <w:rPr>
          <w:lang w:val="sr-Latn-CS"/>
        </w:rPr>
      </w:pPr>
      <w:r w:rsidRPr="00D33A0B">
        <w:rPr>
          <w:lang w:val="sr-Latn-CS"/>
        </w:rPr>
        <w:t xml:space="preserve">U sklopu svojih redovnih aktivnosti osoblje </w:t>
      </w:r>
      <w:r w:rsidRPr="00D33A0B">
        <w:rPr>
          <w:b/>
          <w:lang w:val="sr-Latn-CS"/>
        </w:rPr>
        <w:t>Aerodroma “ Tivat”</w:t>
      </w:r>
      <w:r w:rsidRPr="00D33A0B">
        <w:rPr>
          <w:lang w:val="sr-Latn-CS"/>
        </w:rPr>
        <w:t xml:space="preserve"> ostvarilo je još jednu veoma uspješnu sezonu. </w:t>
      </w:r>
    </w:p>
    <w:p w:rsidR="00E5449B" w:rsidRPr="00D33A0B" w:rsidRDefault="00E5449B" w:rsidP="00E5449B">
      <w:pPr>
        <w:rPr>
          <w:lang w:val="sr-Latn-CS"/>
        </w:rPr>
      </w:pPr>
      <w:r w:rsidRPr="00D33A0B">
        <w:rPr>
          <w:lang w:val="sr-Latn-CS"/>
        </w:rPr>
        <w:t>Posmatrano  po ljetnjim mjesecima ostvaren je sledeći promet:</w:t>
      </w:r>
    </w:p>
    <w:p w:rsidR="00E5449B" w:rsidRPr="00D33A0B" w:rsidRDefault="00E5449B" w:rsidP="00E5449B">
      <w:pPr>
        <w:rPr>
          <w:sz w:val="28"/>
          <w:szCs w:val="28"/>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4"/>
        <w:gridCol w:w="1130"/>
        <w:gridCol w:w="1116"/>
        <w:gridCol w:w="1723"/>
        <w:gridCol w:w="1134"/>
        <w:gridCol w:w="993"/>
        <w:gridCol w:w="1723"/>
      </w:tblGrid>
      <w:tr w:rsidR="00E5449B" w:rsidRPr="00D33A0B" w:rsidTr="004D1F76">
        <w:tc>
          <w:tcPr>
            <w:tcW w:w="1244" w:type="dxa"/>
          </w:tcPr>
          <w:p w:rsidR="00E5449B" w:rsidRPr="00D33A0B" w:rsidRDefault="00E5449B" w:rsidP="004D1F76">
            <w:pPr>
              <w:rPr>
                <w:lang w:val="sr-Latn-CS"/>
              </w:rPr>
            </w:pPr>
          </w:p>
        </w:tc>
        <w:tc>
          <w:tcPr>
            <w:tcW w:w="3969" w:type="dxa"/>
            <w:gridSpan w:val="3"/>
          </w:tcPr>
          <w:p w:rsidR="00E5449B" w:rsidRPr="00D33A0B" w:rsidRDefault="00E5449B" w:rsidP="004D1F76">
            <w:pPr>
              <w:jc w:val="center"/>
              <w:rPr>
                <w:b/>
                <w:lang w:val="sr-Latn-CS"/>
              </w:rPr>
            </w:pPr>
            <w:r w:rsidRPr="00D33A0B">
              <w:rPr>
                <w:b/>
                <w:lang w:val="sr-Latn-CS"/>
              </w:rPr>
              <w:t>PUTNICI</w:t>
            </w:r>
          </w:p>
        </w:tc>
        <w:tc>
          <w:tcPr>
            <w:tcW w:w="3850" w:type="dxa"/>
            <w:gridSpan w:val="3"/>
          </w:tcPr>
          <w:p w:rsidR="00E5449B" w:rsidRPr="00D33A0B" w:rsidRDefault="00E5449B" w:rsidP="004D1F76">
            <w:pPr>
              <w:jc w:val="center"/>
              <w:rPr>
                <w:b/>
                <w:lang w:val="sr-Latn-CS"/>
              </w:rPr>
            </w:pPr>
            <w:r w:rsidRPr="00D33A0B">
              <w:rPr>
                <w:b/>
                <w:lang w:val="sr-Latn-CS"/>
              </w:rPr>
              <w:t>VAZDUHOPLOVA</w:t>
            </w:r>
          </w:p>
        </w:tc>
      </w:tr>
      <w:tr w:rsidR="00E5449B" w:rsidRPr="00D33A0B" w:rsidTr="004D1F76">
        <w:tc>
          <w:tcPr>
            <w:tcW w:w="1244" w:type="dxa"/>
          </w:tcPr>
          <w:p w:rsidR="00E5449B" w:rsidRPr="00D33A0B" w:rsidRDefault="00E5449B" w:rsidP="004D1F76">
            <w:pPr>
              <w:rPr>
                <w:lang w:val="sr-Latn-CS"/>
              </w:rPr>
            </w:pPr>
          </w:p>
        </w:tc>
        <w:tc>
          <w:tcPr>
            <w:tcW w:w="1130" w:type="dxa"/>
          </w:tcPr>
          <w:p w:rsidR="00E5449B" w:rsidRPr="00D33A0B" w:rsidRDefault="00E5449B" w:rsidP="004D1F76">
            <w:pPr>
              <w:jc w:val="right"/>
              <w:rPr>
                <w:b/>
                <w:lang w:val="sr-Latn-CS"/>
              </w:rPr>
            </w:pPr>
            <w:r w:rsidRPr="00D33A0B">
              <w:rPr>
                <w:b/>
                <w:lang w:val="sr-Latn-CS"/>
              </w:rPr>
              <w:t>201</w:t>
            </w:r>
            <w:r w:rsidR="00A83530" w:rsidRPr="00D33A0B">
              <w:rPr>
                <w:b/>
                <w:lang w:val="sr-Latn-CS"/>
              </w:rPr>
              <w:t>6</w:t>
            </w:r>
          </w:p>
        </w:tc>
        <w:tc>
          <w:tcPr>
            <w:tcW w:w="1116" w:type="dxa"/>
          </w:tcPr>
          <w:p w:rsidR="00E5449B" w:rsidRPr="00D33A0B" w:rsidRDefault="00E5449B" w:rsidP="004D1F76">
            <w:pPr>
              <w:jc w:val="right"/>
              <w:rPr>
                <w:lang w:val="sr-Latn-CS"/>
              </w:rPr>
            </w:pPr>
            <w:r w:rsidRPr="00D33A0B">
              <w:rPr>
                <w:lang w:val="sr-Latn-CS"/>
              </w:rPr>
              <w:t>201</w:t>
            </w:r>
            <w:r w:rsidR="00A83530" w:rsidRPr="00D33A0B">
              <w:rPr>
                <w:lang w:val="sr-Latn-CS"/>
              </w:rPr>
              <w:t>5</w:t>
            </w:r>
          </w:p>
        </w:tc>
        <w:tc>
          <w:tcPr>
            <w:tcW w:w="1723" w:type="dxa"/>
          </w:tcPr>
          <w:p w:rsidR="00E5449B" w:rsidRPr="00D33A0B" w:rsidRDefault="00E5449B" w:rsidP="00A83530">
            <w:pPr>
              <w:jc w:val="right"/>
              <w:rPr>
                <w:lang w:val="sr-Latn-CS"/>
              </w:rPr>
            </w:pPr>
            <w:r w:rsidRPr="00D33A0B">
              <w:rPr>
                <w:lang w:val="sr-Latn-CS"/>
              </w:rPr>
              <w:t>201</w:t>
            </w:r>
            <w:r w:rsidR="00A83530" w:rsidRPr="00D33A0B">
              <w:rPr>
                <w:lang w:val="sr-Latn-CS"/>
              </w:rPr>
              <w:t>6</w:t>
            </w:r>
            <w:r w:rsidRPr="00D33A0B">
              <w:rPr>
                <w:lang w:val="sr-Latn-CS"/>
              </w:rPr>
              <w:t>/1</w:t>
            </w:r>
            <w:r w:rsidR="00A83530" w:rsidRPr="00D33A0B">
              <w:rPr>
                <w:lang w:val="sr-Latn-CS"/>
              </w:rPr>
              <w:t>5</w:t>
            </w:r>
            <w:r w:rsidRPr="00D33A0B">
              <w:rPr>
                <w:lang w:val="sr-Latn-CS"/>
              </w:rPr>
              <w:t xml:space="preserve"> (u %)</w:t>
            </w:r>
          </w:p>
        </w:tc>
        <w:tc>
          <w:tcPr>
            <w:tcW w:w="1134" w:type="dxa"/>
          </w:tcPr>
          <w:p w:rsidR="00E5449B" w:rsidRPr="00D33A0B" w:rsidRDefault="00E5449B" w:rsidP="00A83530">
            <w:pPr>
              <w:jc w:val="right"/>
              <w:rPr>
                <w:b/>
                <w:lang w:val="sr-Latn-CS"/>
              </w:rPr>
            </w:pPr>
            <w:r w:rsidRPr="00D33A0B">
              <w:rPr>
                <w:b/>
                <w:lang w:val="sr-Latn-CS"/>
              </w:rPr>
              <w:t>201</w:t>
            </w:r>
            <w:r w:rsidR="00A83530" w:rsidRPr="00D33A0B">
              <w:rPr>
                <w:b/>
                <w:lang w:val="sr-Latn-CS"/>
              </w:rPr>
              <w:t>6</w:t>
            </w:r>
          </w:p>
        </w:tc>
        <w:tc>
          <w:tcPr>
            <w:tcW w:w="993" w:type="dxa"/>
          </w:tcPr>
          <w:p w:rsidR="00E5449B" w:rsidRPr="00D33A0B" w:rsidRDefault="00E5449B" w:rsidP="00A83530">
            <w:pPr>
              <w:jc w:val="right"/>
              <w:rPr>
                <w:lang w:val="sr-Latn-CS"/>
              </w:rPr>
            </w:pPr>
            <w:r w:rsidRPr="00D33A0B">
              <w:rPr>
                <w:lang w:val="sr-Latn-CS"/>
              </w:rPr>
              <w:t>201</w:t>
            </w:r>
            <w:r w:rsidR="00A83530" w:rsidRPr="00D33A0B">
              <w:rPr>
                <w:lang w:val="sr-Latn-CS"/>
              </w:rPr>
              <w:t>5</w:t>
            </w:r>
          </w:p>
        </w:tc>
        <w:tc>
          <w:tcPr>
            <w:tcW w:w="1723" w:type="dxa"/>
          </w:tcPr>
          <w:p w:rsidR="00E5449B" w:rsidRPr="00D33A0B" w:rsidRDefault="00E5449B" w:rsidP="004D1F76">
            <w:pPr>
              <w:jc w:val="right"/>
              <w:rPr>
                <w:lang w:val="sr-Latn-CS"/>
              </w:rPr>
            </w:pPr>
            <w:r w:rsidRPr="00D33A0B">
              <w:rPr>
                <w:lang w:val="sr-Latn-CS"/>
              </w:rPr>
              <w:t>20</w:t>
            </w:r>
            <w:r w:rsidR="00A83530" w:rsidRPr="00D33A0B">
              <w:rPr>
                <w:lang w:val="sr-Latn-CS"/>
              </w:rPr>
              <w:t>16</w:t>
            </w:r>
            <w:r w:rsidRPr="00D33A0B">
              <w:rPr>
                <w:lang w:val="sr-Latn-CS"/>
              </w:rPr>
              <w:t>/15 (u %)</w:t>
            </w:r>
          </w:p>
        </w:tc>
      </w:tr>
      <w:tr w:rsidR="00A83530" w:rsidRPr="00D33A0B" w:rsidTr="004D1F76">
        <w:tc>
          <w:tcPr>
            <w:tcW w:w="1244" w:type="dxa"/>
          </w:tcPr>
          <w:p w:rsidR="00A83530" w:rsidRPr="00D33A0B" w:rsidRDefault="00A83530" w:rsidP="004D1F76">
            <w:pPr>
              <w:rPr>
                <w:lang w:val="sr-Latn-CS"/>
              </w:rPr>
            </w:pPr>
            <w:r w:rsidRPr="00D33A0B">
              <w:rPr>
                <w:lang w:val="sr-Latn-CS"/>
              </w:rPr>
              <w:t>Jun</w:t>
            </w:r>
          </w:p>
        </w:tc>
        <w:tc>
          <w:tcPr>
            <w:tcW w:w="1130" w:type="dxa"/>
          </w:tcPr>
          <w:p w:rsidR="00A83530" w:rsidRPr="00D33A0B" w:rsidRDefault="00A83530" w:rsidP="004D1F76">
            <w:pPr>
              <w:jc w:val="right"/>
              <w:rPr>
                <w:lang w:val="sr-Latn-CS"/>
              </w:rPr>
            </w:pPr>
            <w:r w:rsidRPr="00D33A0B">
              <w:rPr>
                <w:lang w:val="sr-Latn-CS"/>
              </w:rPr>
              <w:t>147.126</w:t>
            </w:r>
          </w:p>
        </w:tc>
        <w:tc>
          <w:tcPr>
            <w:tcW w:w="1116" w:type="dxa"/>
          </w:tcPr>
          <w:p w:rsidR="00A83530" w:rsidRPr="00D33A0B" w:rsidRDefault="00A83530" w:rsidP="004D1F76">
            <w:pPr>
              <w:jc w:val="right"/>
              <w:rPr>
                <w:lang w:val="sr-Latn-CS"/>
              </w:rPr>
            </w:pPr>
            <w:r w:rsidRPr="00D33A0B">
              <w:rPr>
                <w:lang w:val="sr-Latn-CS"/>
              </w:rPr>
              <w:t>131.870</w:t>
            </w:r>
          </w:p>
        </w:tc>
        <w:tc>
          <w:tcPr>
            <w:tcW w:w="1723" w:type="dxa"/>
          </w:tcPr>
          <w:p w:rsidR="00A83530" w:rsidRPr="00D33A0B" w:rsidRDefault="00A83530" w:rsidP="00A83530">
            <w:pPr>
              <w:jc w:val="right"/>
              <w:rPr>
                <w:lang w:val="sr-Latn-CS"/>
              </w:rPr>
            </w:pPr>
            <w:r w:rsidRPr="00D33A0B">
              <w:rPr>
                <w:lang w:val="sr-Latn-CS"/>
              </w:rPr>
              <w:t>+11.57 %</w:t>
            </w:r>
          </w:p>
        </w:tc>
        <w:tc>
          <w:tcPr>
            <w:tcW w:w="1134" w:type="dxa"/>
          </w:tcPr>
          <w:p w:rsidR="00A83530" w:rsidRPr="00D33A0B" w:rsidRDefault="00A83530" w:rsidP="004D1F76">
            <w:pPr>
              <w:jc w:val="right"/>
              <w:rPr>
                <w:lang w:val="sr-Latn-CS"/>
              </w:rPr>
            </w:pPr>
            <w:r w:rsidRPr="00D33A0B">
              <w:rPr>
                <w:lang w:val="sr-Latn-CS"/>
              </w:rPr>
              <w:t>871</w:t>
            </w:r>
          </w:p>
        </w:tc>
        <w:tc>
          <w:tcPr>
            <w:tcW w:w="993" w:type="dxa"/>
          </w:tcPr>
          <w:p w:rsidR="00A83530" w:rsidRPr="00D33A0B" w:rsidRDefault="00A83530" w:rsidP="004D1F76">
            <w:pPr>
              <w:jc w:val="right"/>
              <w:rPr>
                <w:lang w:val="sr-Latn-CS"/>
              </w:rPr>
            </w:pPr>
            <w:r w:rsidRPr="00D33A0B">
              <w:rPr>
                <w:lang w:val="sr-Latn-CS"/>
              </w:rPr>
              <w:t>774</w:t>
            </w:r>
          </w:p>
        </w:tc>
        <w:tc>
          <w:tcPr>
            <w:tcW w:w="1723" w:type="dxa"/>
          </w:tcPr>
          <w:p w:rsidR="00A83530" w:rsidRPr="00D33A0B" w:rsidRDefault="00D00365" w:rsidP="00063171">
            <w:pPr>
              <w:jc w:val="right"/>
              <w:rPr>
                <w:lang w:val="sr-Latn-CS"/>
              </w:rPr>
            </w:pPr>
            <w:r w:rsidRPr="00D33A0B">
              <w:rPr>
                <w:lang w:val="sr-Latn-CS"/>
              </w:rPr>
              <w:t>+ 12</w:t>
            </w:r>
            <w:r w:rsidR="00063171" w:rsidRPr="00D33A0B">
              <w:rPr>
                <w:lang w:val="sr-Latn-CS"/>
              </w:rPr>
              <w:t>.</w:t>
            </w:r>
            <w:r w:rsidRPr="00D33A0B">
              <w:rPr>
                <w:lang w:val="sr-Latn-CS"/>
              </w:rPr>
              <w:t xml:space="preserve">53 </w:t>
            </w:r>
            <w:r w:rsidR="00A83530" w:rsidRPr="00D33A0B">
              <w:rPr>
                <w:lang w:val="sr-Latn-CS"/>
              </w:rPr>
              <w:t>%</w:t>
            </w:r>
          </w:p>
        </w:tc>
      </w:tr>
      <w:tr w:rsidR="00A83530" w:rsidRPr="00D33A0B" w:rsidTr="004D1F76">
        <w:tc>
          <w:tcPr>
            <w:tcW w:w="1244" w:type="dxa"/>
          </w:tcPr>
          <w:p w:rsidR="00A83530" w:rsidRPr="00D33A0B" w:rsidRDefault="00A83530" w:rsidP="004D1F76">
            <w:pPr>
              <w:rPr>
                <w:lang w:val="sr-Latn-CS"/>
              </w:rPr>
            </w:pPr>
            <w:r w:rsidRPr="00D33A0B">
              <w:rPr>
                <w:lang w:val="sr-Latn-CS"/>
              </w:rPr>
              <w:t>Jul</w:t>
            </w:r>
          </w:p>
        </w:tc>
        <w:tc>
          <w:tcPr>
            <w:tcW w:w="1130" w:type="dxa"/>
          </w:tcPr>
          <w:p w:rsidR="00A83530" w:rsidRPr="00D33A0B" w:rsidRDefault="00A83530" w:rsidP="004D1F76">
            <w:pPr>
              <w:jc w:val="right"/>
              <w:rPr>
                <w:lang w:val="sr-Latn-CS"/>
              </w:rPr>
            </w:pPr>
            <w:r w:rsidRPr="00D33A0B">
              <w:rPr>
                <w:lang w:val="sr-Latn-CS"/>
              </w:rPr>
              <w:t>219.423</w:t>
            </w:r>
          </w:p>
        </w:tc>
        <w:tc>
          <w:tcPr>
            <w:tcW w:w="1116" w:type="dxa"/>
          </w:tcPr>
          <w:p w:rsidR="00A83530" w:rsidRPr="00D33A0B" w:rsidRDefault="00A83530" w:rsidP="004D1F76">
            <w:pPr>
              <w:jc w:val="right"/>
              <w:rPr>
                <w:lang w:val="sr-Latn-CS"/>
              </w:rPr>
            </w:pPr>
            <w:r w:rsidRPr="00D33A0B">
              <w:rPr>
                <w:lang w:val="sr-Latn-CS"/>
              </w:rPr>
              <w:t>199.919</w:t>
            </w:r>
          </w:p>
        </w:tc>
        <w:tc>
          <w:tcPr>
            <w:tcW w:w="1723" w:type="dxa"/>
          </w:tcPr>
          <w:p w:rsidR="00A83530" w:rsidRPr="00D33A0B" w:rsidRDefault="00A83530" w:rsidP="00A83530">
            <w:pPr>
              <w:jc w:val="right"/>
              <w:rPr>
                <w:lang w:val="sr-Latn-CS"/>
              </w:rPr>
            </w:pPr>
            <w:r w:rsidRPr="00D33A0B">
              <w:rPr>
                <w:lang w:val="sr-Latn-CS"/>
              </w:rPr>
              <w:t>+ 9.76 %</w:t>
            </w:r>
          </w:p>
        </w:tc>
        <w:tc>
          <w:tcPr>
            <w:tcW w:w="1134" w:type="dxa"/>
          </w:tcPr>
          <w:p w:rsidR="00A83530" w:rsidRPr="00D33A0B" w:rsidRDefault="00A83530" w:rsidP="004D1F76">
            <w:pPr>
              <w:jc w:val="right"/>
              <w:rPr>
                <w:lang w:val="sr-Latn-CS"/>
              </w:rPr>
            </w:pPr>
            <w:r w:rsidRPr="00D33A0B">
              <w:rPr>
                <w:lang w:val="sr-Latn-CS"/>
              </w:rPr>
              <w:t>1.211</w:t>
            </w:r>
          </w:p>
        </w:tc>
        <w:tc>
          <w:tcPr>
            <w:tcW w:w="993" w:type="dxa"/>
          </w:tcPr>
          <w:p w:rsidR="00A83530" w:rsidRPr="00D33A0B" w:rsidRDefault="00A83530" w:rsidP="004D1F76">
            <w:pPr>
              <w:jc w:val="right"/>
              <w:rPr>
                <w:lang w:val="sr-Latn-CS"/>
              </w:rPr>
            </w:pPr>
            <w:r w:rsidRPr="00D33A0B">
              <w:rPr>
                <w:lang w:val="sr-Latn-CS"/>
              </w:rPr>
              <w:t>1.067</w:t>
            </w:r>
          </w:p>
        </w:tc>
        <w:tc>
          <w:tcPr>
            <w:tcW w:w="1723" w:type="dxa"/>
          </w:tcPr>
          <w:p w:rsidR="00A83530" w:rsidRPr="00D33A0B" w:rsidRDefault="00D00365" w:rsidP="00063171">
            <w:pPr>
              <w:jc w:val="right"/>
              <w:rPr>
                <w:lang w:val="sr-Latn-CS"/>
              </w:rPr>
            </w:pPr>
            <w:r w:rsidRPr="00D33A0B">
              <w:rPr>
                <w:lang w:val="sr-Latn-CS"/>
              </w:rPr>
              <w:t>+13</w:t>
            </w:r>
            <w:r w:rsidR="00063171" w:rsidRPr="00D33A0B">
              <w:rPr>
                <w:lang w:val="sr-Latn-CS"/>
              </w:rPr>
              <w:t>.</w:t>
            </w:r>
            <w:r w:rsidRPr="00D33A0B">
              <w:rPr>
                <w:lang w:val="sr-Latn-CS"/>
              </w:rPr>
              <w:t xml:space="preserve">50 </w:t>
            </w:r>
            <w:r w:rsidR="00A83530" w:rsidRPr="00D33A0B">
              <w:rPr>
                <w:lang w:val="sr-Latn-CS"/>
              </w:rPr>
              <w:t xml:space="preserve"> %</w:t>
            </w:r>
          </w:p>
        </w:tc>
      </w:tr>
      <w:tr w:rsidR="00A83530" w:rsidRPr="00D33A0B" w:rsidTr="004D1F76">
        <w:tc>
          <w:tcPr>
            <w:tcW w:w="1244" w:type="dxa"/>
          </w:tcPr>
          <w:p w:rsidR="00A83530" w:rsidRPr="00D33A0B" w:rsidRDefault="00A83530" w:rsidP="004D1F76">
            <w:pPr>
              <w:rPr>
                <w:lang w:val="sr-Latn-CS"/>
              </w:rPr>
            </w:pPr>
            <w:r w:rsidRPr="00D33A0B">
              <w:rPr>
                <w:lang w:val="sr-Latn-CS"/>
              </w:rPr>
              <w:t>Avgust</w:t>
            </w:r>
          </w:p>
        </w:tc>
        <w:tc>
          <w:tcPr>
            <w:tcW w:w="1130" w:type="dxa"/>
          </w:tcPr>
          <w:p w:rsidR="00A83530" w:rsidRPr="00D33A0B" w:rsidRDefault="00A83530" w:rsidP="004D1F76">
            <w:pPr>
              <w:jc w:val="right"/>
              <w:rPr>
                <w:lang w:val="sr-Latn-CS"/>
              </w:rPr>
            </w:pPr>
            <w:r w:rsidRPr="00D33A0B">
              <w:rPr>
                <w:lang w:val="sr-Latn-CS"/>
              </w:rPr>
              <w:t>223.733</w:t>
            </w:r>
          </w:p>
        </w:tc>
        <w:tc>
          <w:tcPr>
            <w:tcW w:w="1116" w:type="dxa"/>
          </w:tcPr>
          <w:p w:rsidR="00A83530" w:rsidRPr="00D33A0B" w:rsidRDefault="00A83530" w:rsidP="004D1F76">
            <w:pPr>
              <w:jc w:val="right"/>
              <w:rPr>
                <w:lang w:val="sr-Latn-CS"/>
              </w:rPr>
            </w:pPr>
            <w:r w:rsidRPr="00D33A0B">
              <w:rPr>
                <w:lang w:val="sr-Latn-CS"/>
              </w:rPr>
              <w:t>213.857</w:t>
            </w:r>
          </w:p>
        </w:tc>
        <w:tc>
          <w:tcPr>
            <w:tcW w:w="1723" w:type="dxa"/>
          </w:tcPr>
          <w:p w:rsidR="00A83530" w:rsidRPr="00D33A0B" w:rsidRDefault="00A83530" w:rsidP="00A83530">
            <w:pPr>
              <w:jc w:val="right"/>
              <w:rPr>
                <w:lang w:val="sr-Latn-CS"/>
              </w:rPr>
            </w:pPr>
            <w:r w:rsidRPr="00D33A0B">
              <w:rPr>
                <w:lang w:val="sr-Latn-CS"/>
              </w:rPr>
              <w:t>+ 4.62 %</w:t>
            </w:r>
          </w:p>
        </w:tc>
        <w:tc>
          <w:tcPr>
            <w:tcW w:w="1134" w:type="dxa"/>
          </w:tcPr>
          <w:p w:rsidR="00A83530" w:rsidRPr="00D33A0B" w:rsidRDefault="00A83530" w:rsidP="004D1F76">
            <w:pPr>
              <w:jc w:val="right"/>
              <w:rPr>
                <w:lang w:val="sr-Latn-CS"/>
              </w:rPr>
            </w:pPr>
            <w:r w:rsidRPr="00D33A0B">
              <w:rPr>
                <w:lang w:val="sr-Latn-CS"/>
              </w:rPr>
              <w:t>1.220</w:t>
            </w:r>
          </w:p>
        </w:tc>
        <w:tc>
          <w:tcPr>
            <w:tcW w:w="993" w:type="dxa"/>
          </w:tcPr>
          <w:p w:rsidR="00A83530" w:rsidRPr="00D33A0B" w:rsidRDefault="00A83530" w:rsidP="004D1F76">
            <w:pPr>
              <w:jc w:val="right"/>
              <w:rPr>
                <w:lang w:val="sr-Latn-CS"/>
              </w:rPr>
            </w:pPr>
            <w:r w:rsidRPr="00D33A0B">
              <w:rPr>
                <w:lang w:val="sr-Latn-CS"/>
              </w:rPr>
              <w:t>2.015</w:t>
            </w:r>
          </w:p>
        </w:tc>
        <w:tc>
          <w:tcPr>
            <w:tcW w:w="1723" w:type="dxa"/>
          </w:tcPr>
          <w:p w:rsidR="00A83530" w:rsidRPr="00D33A0B" w:rsidRDefault="00D00365" w:rsidP="00D00365">
            <w:pPr>
              <w:jc w:val="right"/>
              <w:rPr>
                <w:lang w:val="sr-Latn-CS"/>
              </w:rPr>
            </w:pPr>
            <w:r w:rsidRPr="00D33A0B">
              <w:rPr>
                <w:lang w:val="sr-Latn-CS"/>
              </w:rPr>
              <w:t>+ 60</w:t>
            </w:r>
            <w:r w:rsidR="00A83530" w:rsidRPr="00D33A0B">
              <w:rPr>
                <w:lang w:val="sr-Latn-CS"/>
              </w:rPr>
              <w:t>.</w:t>
            </w:r>
            <w:r w:rsidRPr="00D33A0B">
              <w:rPr>
                <w:lang w:val="sr-Latn-CS"/>
              </w:rPr>
              <w:t>55</w:t>
            </w:r>
            <w:r w:rsidR="00A83530" w:rsidRPr="00D33A0B">
              <w:rPr>
                <w:lang w:val="sr-Latn-CS"/>
              </w:rPr>
              <w:t xml:space="preserve"> %</w:t>
            </w:r>
          </w:p>
        </w:tc>
      </w:tr>
      <w:tr w:rsidR="00A83530" w:rsidRPr="00D33A0B" w:rsidTr="004D1F76">
        <w:tc>
          <w:tcPr>
            <w:tcW w:w="1244" w:type="dxa"/>
          </w:tcPr>
          <w:p w:rsidR="00A83530" w:rsidRPr="00D33A0B" w:rsidRDefault="00A83530" w:rsidP="004D1F76">
            <w:pPr>
              <w:rPr>
                <w:b/>
                <w:lang w:val="sr-Latn-CS"/>
              </w:rPr>
            </w:pPr>
            <w:r w:rsidRPr="00D33A0B">
              <w:rPr>
                <w:b/>
                <w:lang w:val="sr-Latn-CS"/>
              </w:rPr>
              <w:t>Ukupno:</w:t>
            </w:r>
          </w:p>
        </w:tc>
        <w:tc>
          <w:tcPr>
            <w:tcW w:w="1130" w:type="dxa"/>
          </w:tcPr>
          <w:p w:rsidR="00A83530" w:rsidRPr="00D33A0B" w:rsidRDefault="00A83530" w:rsidP="004D1F76">
            <w:pPr>
              <w:jc w:val="right"/>
              <w:rPr>
                <w:b/>
                <w:lang w:val="sr-Latn-CS"/>
              </w:rPr>
            </w:pPr>
            <w:r w:rsidRPr="00D33A0B">
              <w:rPr>
                <w:b/>
                <w:lang w:val="sr-Latn-CS"/>
              </w:rPr>
              <w:t>590.282</w:t>
            </w:r>
          </w:p>
        </w:tc>
        <w:tc>
          <w:tcPr>
            <w:tcW w:w="1116" w:type="dxa"/>
          </w:tcPr>
          <w:p w:rsidR="00A83530" w:rsidRPr="00D33A0B" w:rsidRDefault="00A83530" w:rsidP="004D1F76">
            <w:pPr>
              <w:jc w:val="right"/>
              <w:rPr>
                <w:b/>
                <w:lang w:val="sr-Latn-CS"/>
              </w:rPr>
            </w:pPr>
            <w:r w:rsidRPr="00D33A0B">
              <w:rPr>
                <w:b/>
                <w:lang w:val="sr-Latn-CS"/>
              </w:rPr>
              <w:t>545.646</w:t>
            </w:r>
          </w:p>
        </w:tc>
        <w:tc>
          <w:tcPr>
            <w:tcW w:w="1723" w:type="dxa"/>
          </w:tcPr>
          <w:p w:rsidR="00A83530" w:rsidRPr="00D33A0B" w:rsidRDefault="00A83530" w:rsidP="00A83530">
            <w:pPr>
              <w:jc w:val="right"/>
              <w:rPr>
                <w:b/>
                <w:lang w:val="sr-Latn-CS"/>
              </w:rPr>
            </w:pPr>
            <w:r w:rsidRPr="00D33A0B">
              <w:rPr>
                <w:b/>
                <w:lang w:val="sr-Latn-CS"/>
              </w:rPr>
              <w:t>+ 8.18 %</w:t>
            </w:r>
          </w:p>
        </w:tc>
        <w:tc>
          <w:tcPr>
            <w:tcW w:w="1134" w:type="dxa"/>
          </w:tcPr>
          <w:p w:rsidR="00A83530" w:rsidRPr="00D33A0B" w:rsidRDefault="00A83530" w:rsidP="004D1F76">
            <w:pPr>
              <w:jc w:val="right"/>
              <w:rPr>
                <w:b/>
                <w:lang w:val="sr-Latn-CS"/>
              </w:rPr>
            </w:pPr>
            <w:r w:rsidRPr="00D33A0B">
              <w:rPr>
                <w:b/>
                <w:lang w:val="sr-Latn-CS"/>
              </w:rPr>
              <w:t>3.302</w:t>
            </w:r>
          </w:p>
        </w:tc>
        <w:tc>
          <w:tcPr>
            <w:tcW w:w="993" w:type="dxa"/>
          </w:tcPr>
          <w:p w:rsidR="00A83530" w:rsidRPr="00D33A0B" w:rsidRDefault="00A83530" w:rsidP="004D1F76">
            <w:pPr>
              <w:jc w:val="right"/>
              <w:rPr>
                <w:b/>
                <w:lang w:val="sr-Latn-CS"/>
              </w:rPr>
            </w:pPr>
            <w:r w:rsidRPr="00D33A0B">
              <w:rPr>
                <w:b/>
                <w:lang w:val="sr-Latn-CS"/>
              </w:rPr>
              <w:t>3.856</w:t>
            </w:r>
          </w:p>
        </w:tc>
        <w:tc>
          <w:tcPr>
            <w:tcW w:w="1723" w:type="dxa"/>
          </w:tcPr>
          <w:p w:rsidR="00A83530" w:rsidRPr="00D33A0B" w:rsidRDefault="00A83530" w:rsidP="00D00365">
            <w:pPr>
              <w:jc w:val="right"/>
              <w:rPr>
                <w:b/>
                <w:lang w:val="sr-Latn-CS"/>
              </w:rPr>
            </w:pPr>
            <w:r w:rsidRPr="00D33A0B">
              <w:rPr>
                <w:b/>
                <w:lang w:val="sr-Latn-CS"/>
              </w:rPr>
              <w:t xml:space="preserve">+ </w:t>
            </w:r>
            <w:r w:rsidR="00D00365" w:rsidRPr="00D33A0B">
              <w:rPr>
                <w:b/>
                <w:lang w:val="sr-Latn-CS"/>
              </w:rPr>
              <w:t>85</w:t>
            </w:r>
            <w:r w:rsidRPr="00D33A0B">
              <w:rPr>
                <w:b/>
                <w:lang w:val="sr-Latn-CS"/>
              </w:rPr>
              <w:t>.</w:t>
            </w:r>
            <w:r w:rsidR="00D00365" w:rsidRPr="00D33A0B">
              <w:rPr>
                <w:b/>
                <w:lang w:val="sr-Latn-CS"/>
              </w:rPr>
              <w:t>63</w:t>
            </w:r>
            <w:r w:rsidRPr="00D33A0B">
              <w:rPr>
                <w:b/>
                <w:lang w:val="sr-Latn-CS"/>
              </w:rPr>
              <w:t xml:space="preserve"> %</w:t>
            </w:r>
          </w:p>
        </w:tc>
      </w:tr>
    </w:tbl>
    <w:p w:rsidR="00E5449B" w:rsidRPr="00D33A0B" w:rsidRDefault="00E5449B" w:rsidP="00E5449B">
      <w:pPr>
        <w:jc w:val="both"/>
        <w:rPr>
          <w:sz w:val="28"/>
          <w:szCs w:val="28"/>
          <w:lang w:val="sr-Latn-CS"/>
        </w:rPr>
      </w:pPr>
    </w:p>
    <w:p w:rsidR="00E5449B" w:rsidRPr="00D33A0B" w:rsidRDefault="00E5449B" w:rsidP="00E5449B">
      <w:pPr>
        <w:jc w:val="both"/>
        <w:rPr>
          <w:b/>
          <w:sz w:val="28"/>
          <w:szCs w:val="28"/>
          <w:u w:val="single"/>
          <w:lang w:val="sr-Latn-CS"/>
        </w:rPr>
      </w:pPr>
      <w:r w:rsidRPr="00D33A0B">
        <w:rPr>
          <w:b/>
          <w:sz w:val="28"/>
          <w:szCs w:val="28"/>
          <w:u w:val="single"/>
          <w:lang w:val="sr-Latn-CS"/>
        </w:rPr>
        <w:t>UPRAVA POLICIJE TIVAT</w:t>
      </w:r>
    </w:p>
    <w:p w:rsidR="00890D0D" w:rsidRPr="00D33A0B" w:rsidRDefault="00890D0D" w:rsidP="00890D0D">
      <w:pPr>
        <w:jc w:val="both"/>
        <w:rPr>
          <w:lang w:val="sr-Latn-CS"/>
        </w:rPr>
      </w:pPr>
    </w:p>
    <w:p w:rsidR="00890D0D" w:rsidRPr="00D33A0B" w:rsidRDefault="00890D0D" w:rsidP="00890D0D">
      <w:pPr>
        <w:jc w:val="both"/>
        <w:rPr>
          <w:lang w:val="sl-SI"/>
        </w:rPr>
      </w:pPr>
      <w:r w:rsidRPr="00D33A0B">
        <w:rPr>
          <w:lang w:val="sl-SI"/>
        </w:rPr>
        <w:t xml:space="preserve">U turističkoj sezoni 2016. godine,  u okviru zone odgovornosti Odjeljenja bezbjednosti Tivat, </w:t>
      </w:r>
      <w:r w:rsidRPr="00D33A0B">
        <w:rPr>
          <w:b/>
          <w:lang w:val="sl-SI"/>
        </w:rPr>
        <w:t>stanje javnog reda i mira, kao i kriminaliteta bilo je na izuzetno povoljno i bez bezbjednosno interesantnih dogadjaja koji bi izazvali posebnu pažnju javnosti i uznemirenost gradjana</w:t>
      </w:r>
      <w:r w:rsidRPr="00D33A0B">
        <w:rPr>
          <w:lang w:val="sl-SI"/>
        </w:rPr>
        <w:t xml:space="preserve">, te je kontinuiranim profesionalnim odnosom prema poslu i maksimalnim angažovanjem posojećih ljudskih i materijalno-tehničkih kapaciteta stvoren osjećaj sigurnosti i stabilnosti kako za ličnu bezbjednost gradjana, tako i za njihovu imovinu. U traženom periodu registrovano je 12 narušavanja Javnog reda i mira od strane 16 izršilaca. Analizom prekršaja utvrdjeno je da je suprotno članu </w:t>
      </w:r>
      <w:r w:rsidRPr="00D33A0B">
        <w:rPr>
          <w:b/>
          <w:lang w:val="sl-SI"/>
        </w:rPr>
        <w:t>10 Zakona o JRiM (fizički napad) izvršeno 8 prekršaja</w:t>
      </w:r>
      <w:r w:rsidRPr="00D33A0B">
        <w:rPr>
          <w:lang w:val="sl-SI"/>
        </w:rPr>
        <w:t xml:space="preserve">, nakon čega slijede prekršaji suprotno </w:t>
      </w:r>
      <w:r w:rsidRPr="00D33A0B">
        <w:rPr>
          <w:b/>
          <w:lang w:val="sl-SI"/>
        </w:rPr>
        <w:t>članu 6 (uznemiravanje gradjana) u 1 slučaju</w:t>
      </w:r>
      <w:r w:rsidRPr="00D33A0B">
        <w:rPr>
          <w:lang w:val="sl-SI"/>
        </w:rPr>
        <w:t xml:space="preserve">, zatim </w:t>
      </w:r>
      <w:r w:rsidRPr="00D33A0B">
        <w:rPr>
          <w:b/>
          <w:lang w:val="sl-SI"/>
        </w:rPr>
        <w:t>članu 7 (drsko ponašanje) u 3 slučaja</w:t>
      </w:r>
      <w:r w:rsidRPr="00D33A0B">
        <w:rPr>
          <w:lang w:val="sl-SI"/>
        </w:rPr>
        <w:t xml:space="preserve"> prekršaj suprotno </w:t>
      </w:r>
      <w:r w:rsidRPr="00D33A0B">
        <w:rPr>
          <w:b/>
          <w:lang w:val="sl-SI"/>
        </w:rPr>
        <w:t>članu 11 (omalovažavanje ili ometanje službenog lica u vršenju službene dužnosti) u 1 slučaja</w:t>
      </w:r>
      <w:r w:rsidRPr="00D33A0B">
        <w:rPr>
          <w:lang w:val="sl-SI"/>
        </w:rPr>
        <w:t xml:space="preserve">, </w:t>
      </w:r>
      <w:r w:rsidRPr="00D33A0B">
        <w:rPr>
          <w:b/>
          <w:lang w:val="sl-SI"/>
        </w:rPr>
        <w:t>član 31 prosjačenje u 4 slučaja</w:t>
      </w:r>
      <w:r w:rsidRPr="00D33A0B">
        <w:rPr>
          <w:lang w:val="sl-SI"/>
        </w:rPr>
        <w:t xml:space="preserve"> što predstavlja udio u navedenoj prekršajnoj problematici. Od svih navedenih prekršaja u 3 slučajeva je evidentirano da su izvršioci bili pod dejstvom alkohola, dok kao veoma dobar primjer ističemo da nijesmo imali povratnike (lica sklona vršenju prekršaja) kao izvršioce, što ukazuje na dobar operativan i preventivan rad prema ovoj kategoriji lica</w:t>
      </w:r>
    </w:p>
    <w:p w:rsidR="00890D0D" w:rsidRPr="00D33A0B" w:rsidRDefault="00890D0D" w:rsidP="00890D0D">
      <w:pPr>
        <w:jc w:val="both"/>
        <w:rPr>
          <w:lang w:val="sr-Latn-CS"/>
        </w:rPr>
      </w:pPr>
    </w:p>
    <w:p w:rsidR="00890D0D" w:rsidRPr="00D33A0B" w:rsidRDefault="00890D0D" w:rsidP="00890D0D">
      <w:pPr>
        <w:jc w:val="both"/>
        <w:rPr>
          <w:b/>
          <w:lang w:val="sr-Latn-CS"/>
        </w:rPr>
      </w:pPr>
      <w:r w:rsidRPr="00D33A0B">
        <w:rPr>
          <w:b/>
          <w:lang w:val="sr-Latn-CS"/>
        </w:rPr>
        <w:t>Izvršioci narušavanja javnog reda i mira</w:t>
      </w:r>
    </w:p>
    <w:p w:rsidR="00890D0D" w:rsidRPr="00D33A0B" w:rsidRDefault="00890D0D" w:rsidP="00890D0D">
      <w:pPr>
        <w:ind w:firstLine="720"/>
        <w:jc w:val="both"/>
        <w:rPr>
          <w:b/>
          <w:i/>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8"/>
        <w:gridCol w:w="1818"/>
      </w:tblGrid>
      <w:tr w:rsidR="00890D0D" w:rsidRPr="00D33A0B" w:rsidTr="003D3B12">
        <w:tc>
          <w:tcPr>
            <w:tcW w:w="7038" w:type="dxa"/>
          </w:tcPr>
          <w:p w:rsidR="00890D0D" w:rsidRPr="00D33A0B" w:rsidRDefault="00890D0D" w:rsidP="003D3B12">
            <w:pPr>
              <w:jc w:val="both"/>
              <w:rPr>
                <w:b/>
                <w:lang w:val="sr-Latn-CS"/>
              </w:rPr>
            </w:pPr>
            <w:r w:rsidRPr="00D33A0B">
              <w:rPr>
                <w:b/>
                <w:lang w:val="sr-Latn-CS"/>
              </w:rPr>
              <w:t>Državljani Crne Gore</w:t>
            </w:r>
          </w:p>
        </w:tc>
        <w:tc>
          <w:tcPr>
            <w:tcW w:w="1818" w:type="dxa"/>
          </w:tcPr>
          <w:p w:rsidR="00890D0D" w:rsidRPr="00D33A0B" w:rsidRDefault="00890D0D" w:rsidP="003D3B12">
            <w:pPr>
              <w:jc w:val="center"/>
              <w:rPr>
                <w:lang w:val="sr-Latn-CS"/>
              </w:rPr>
            </w:pPr>
            <w:r w:rsidRPr="00D33A0B">
              <w:rPr>
                <w:lang w:val="sr-Latn-CS"/>
              </w:rPr>
              <w:t>14</w:t>
            </w:r>
          </w:p>
        </w:tc>
      </w:tr>
      <w:tr w:rsidR="00890D0D" w:rsidRPr="00D33A0B" w:rsidTr="003D3B12">
        <w:tc>
          <w:tcPr>
            <w:tcW w:w="7038" w:type="dxa"/>
          </w:tcPr>
          <w:p w:rsidR="00890D0D" w:rsidRPr="00D33A0B" w:rsidRDefault="00890D0D" w:rsidP="003D3B12">
            <w:pPr>
              <w:jc w:val="both"/>
              <w:rPr>
                <w:b/>
                <w:lang w:val="sr-Latn-CS"/>
              </w:rPr>
            </w:pPr>
            <w:r w:rsidRPr="00D33A0B">
              <w:rPr>
                <w:b/>
                <w:lang w:val="sr-Latn-CS"/>
              </w:rPr>
              <w:t>Strani državljani</w:t>
            </w:r>
          </w:p>
        </w:tc>
        <w:tc>
          <w:tcPr>
            <w:tcW w:w="1818" w:type="dxa"/>
          </w:tcPr>
          <w:p w:rsidR="00890D0D" w:rsidRPr="00D33A0B" w:rsidRDefault="00890D0D" w:rsidP="003D3B12">
            <w:pPr>
              <w:jc w:val="center"/>
              <w:rPr>
                <w:lang w:val="sr-Latn-CS"/>
              </w:rPr>
            </w:pPr>
            <w:r w:rsidRPr="00D33A0B">
              <w:rPr>
                <w:lang w:val="sr-Latn-CS"/>
              </w:rPr>
              <w:t>3</w:t>
            </w:r>
          </w:p>
        </w:tc>
      </w:tr>
    </w:tbl>
    <w:p w:rsidR="00890D0D" w:rsidRPr="00D33A0B" w:rsidRDefault="00890D0D" w:rsidP="00890D0D">
      <w:pPr>
        <w:jc w:val="both"/>
        <w:rPr>
          <w:b/>
          <w:i/>
          <w:lang w:val="sr-Latn-CS"/>
        </w:rPr>
      </w:pPr>
    </w:p>
    <w:p w:rsidR="00890D0D" w:rsidRPr="00D33A0B" w:rsidRDefault="00890D0D" w:rsidP="00890D0D">
      <w:pPr>
        <w:jc w:val="both"/>
        <w:rPr>
          <w:b/>
          <w:lang w:val="sr-Latn-CS"/>
        </w:rPr>
      </w:pPr>
      <w:r w:rsidRPr="00D33A0B">
        <w:rPr>
          <w:b/>
          <w:lang w:val="sr-Latn-CS"/>
        </w:rPr>
        <w:t>Mjesta izvršenja prekršaja</w:t>
      </w:r>
    </w:p>
    <w:p w:rsidR="00890D0D" w:rsidRPr="00D33A0B" w:rsidRDefault="00890D0D" w:rsidP="00890D0D">
      <w:pPr>
        <w:ind w:firstLine="720"/>
        <w:jc w:val="both"/>
        <w:rPr>
          <w:b/>
          <w:i/>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8"/>
        <w:gridCol w:w="1818"/>
      </w:tblGrid>
      <w:tr w:rsidR="00890D0D" w:rsidRPr="00D33A0B" w:rsidTr="003D3B12">
        <w:tc>
          <w:tcPr>
            <w:tcW w:w="7038" w:type="dxa"/>
          </w:tcPr>
          <w:p w:rsidR="00890D0D" w:rsidRPr="00D33A0B" w:rsidRDefault="00890D0D" w:rsidP="003D3B12">
            <w:pPr>
              <w:rPr>
                <w:b/>
                <w:lang w:val="sr-Latn-CS"/>
              </w:rPr>
            </w:pPr>
            <w:r w:rsidRPr="00D33A0B">
              <w:rPr>
                <w:b/>
                <w:lang w:val="sr-Latn-CS"/>
              </w:rPr>
              <w:t>Ulice i trgovi</w:t>
            </w:r>
          </w:p>
        </w:tc>
        <w:tc>
          <w:tcPr>
            <w:tcW w:w="1818" w:type="dxa"/>
          </w:tcPr>
          <w:p w:rsidR="00890D0D" w:rsidRPr="00D33A0B" w:rsidRDefault="00890D0D" w:rsidP="003D3B12">
            <w:pPr>
              <w:jc w:val="center"/>
              <w:rPr>
                <w:lang w:val="sr-Latn-CS"/>
              </w:rPr>
            </w:pPr>
            <w:r w:rsidRPr="00D33A0B">
              <w:rPr>
                <w:lang w:val="sr-Latn-CS"/>
              </w:rPr>
              <w:t>11</w:t>
            </w:r>
          </w:p>
        </w:tc>
      </w:tr>
      <w:tr w:rsidR="00890D0D" w:rsidRPr="00D33A0B" w:rsidTr="003D3B12">
        <w:tc>
          <w:tcPr>
            <w:tcW w:w="7038" w:type="dxa"/>
          </w:tcPr>
          <w:p w:rsidR="00890D0D" w:rsidRPr="00D33A0B" w:rsidRDefault="00890D0D" w:rsidP="003D3B12">
            <w:pPr>
              <w:rPr>
                <w:b/>
                <w:lang w:val="sr-Latn-CS"/>
              </w:rPr>
            </w:pPr>
            <w:r w:rsidRPr="00D33A0B">
              <w:rPr>
                <w:b/>
                <w:lang w:val="sr-Latn-CS"/>
              </w:rPr>
              <w:t>Ugostiteljski objekti</w:t>
            </w:r>
          </w:p>
        </w:tc>
        <w:tc>
          <w:tcPr>
            <w:tcW w:w="1818" w:type="dxa"/>
          </w:tcPr>
          <w:p w:rsidR="00890D0D" w:rsidRPr="00D33A0B" w:rsidRDefault="00890D0D" w:rsidP="003D3B12">
            <w:pPr>
              <w:jc w:val="center"/>
              <w:rPr>
                <w:lang w:val="sr-Latn-CS"/>
              </w:rPr>
            </w:pPr>
            <w:r w:rsidRPr="00D33A0B">
              <w:rPr>
                <w:lang w:val="sr-Latn-CS"/>
              </w:rPr>
              <w:t>1</w:t>
            </w:r>
          </w:p>
        </w:tc>
      </w:tr>
      <w:tr w:rsidR="00890D0D" w:rsidRPr="00D33A0B" w:rsidTr="003D3B12">
        <w:tc>
          <w:tcPr>
            <w:tcW w:w="7038" w:type="dxa"/>
          </w:tcPr>
          <w:p w:rsidR="00890D0D" w:rsidRPr="00D33A0B" w:rsidRDefault="00890D0D" w:rsidP="003D3B12">
            <w:pPr>
              <w:rPr>
                <w:b/>
                <w:lang w:val="sr-Latn-CS"/>
              </w:rPr>
            </w:pPr>
            <w:r w:rsidRPr="00D33A0B">
              <w:rPr>
                <w:b/>
                <w:lang w:val="sr-Latn-CS"/>
              </w:rPr>
              <w:t>Stanovi i porodične kuće</w:t>
            </w:r>
          </w:p>
        </w:tc>
        <w:tc>
          <w:tcPr>
            <w:tcW w:w="1818" w:type="dxa"/>
          </w:tcPr>
          <w:p w:rsidR="00890D0D" w:rsidRPr="00D33A0B" w:rsidRDefault="00890D0D" w:rsidP="003D3B12">
            <w:pPr>
              <w:jc w:val="center"/>
              <w:rPr>
                <w:lang w:val="sr-Latn-CS"/>
              </w:rPr>
            </w:pPr>
          </w:p>
        </w:tc>
      </w:tr>
      <w:tr w:rsidR="00890D0D" w:rsidRPr="00D33A0B" w:rsidTr="003D3B12">
        <w:tc>
          <w:tcPr>
            <w:tcW w:w="7038" w:type="dxa"/>
          </w:tcPr>
          <w:p w:rsidR="00890D0D" w:rsidRPr="00D33A0B" w:rsidRDefault="00890D0D" w:rsidP="003D3B12">
            <w:pPr>
              <w:rPr>
                <w:b/>
                <w:lang w:val="sr-Latn-CS"/>
              </w:rPr>
            </w:pPr>
            <w:r w:rsidRPr="00D33A0B">
              <w:rPr>
                <w:b/>
                <w:lang w:val="sr-Latn-CS"/>
              </w:rPr>
              <w:t>Sportski objekti</w:t>
            </w:r>
          </w:p>
        </w:tc>
        <w:tc>
          <w:tcPr>
            <w:tcW w:w="1818" w:type="dxa"/>
          </w:tcPr>
          <w:p w:rsidR="00890D0D" w:rsidRPr="00D33A0B" w:rsidRDefault="00890D0D" w:rsidP="003D3B12">
            <w:pPr>
              <w:jc w:val="center"/>
              <w:rPr>
                <w:lang w:val="sr-Latn-CS"/>
              </w:rPr>
            </w:pPr>
          </w:p>
        </w:tc>
      </w:tr>
      <w:tr w:rsidR="00890D0D" w:rsidRPr="00D33A0B" w:rsidTr="003D3B12">
        <w:tc>
          <w:tcPr>
            <w:tcW w:w="7038" w:type="dxa"/>
          </w:tcPr>
          <w:p w:rsidR="00890D0D" w:rsidRPr="00D33A0B" w:rsidRDefault="00890D0D" w:rsidP="003D3B12">
            <w:pPr>
              <w:rPr>
                <w:b/>
                <w:lang w:val="sr-Latn-CS"/>
              </w:rPr>
            </w:pPr>
            <w:r w:rsidRPr="00D33A0B">
              <w:rPr>
                <w:b/>
                <w:lang w:val="sr-Latn-CS"/>
              </w:rPr>
              <w:t>Ostala mjesta</w:t>
            </w:r>
          </w:p>
        </w:tc>
        <w:tc>
          <w:tcPr>
            <w:tcW w:w="1818" w:type="dxa"/>
          </w:tcPr>
          <w:p w:rsidR="00890D0D" w:rsidRPr="00D33A0B" w:rsidRDefault="00890D0D" w:rsidP="003D3B12">
            <w:pPr>
              <w:jc w:val="center"/>
              <w:rPr>
                <w:lang w:val="sr-Latn-CS"/>
              </w:rPr>
            </w:pPr>
            <w:r w:rsidRPr="00D33A0B">
              <w:rPr>
                <w:lang w:val="sr-Latn-CS"/>
              </w:rPr>
              <w:t>2</w:t>
            </w:r>
          </w:p>
        </w:tc>
      </w:tr>
    </w:tbl>
    <w:p w:rsidR="00890D0D" w:rsidRPr="00D33A0B" w:rsidRDefault="00890D0D" w:rsidP="00890D0D">
      <w:pPr>
        <w:jc w:val="both"/>
        <w:rPr>
          <w:b/>
          <w:i/>
          <w:lang w:val="sr-Latn-CS"/>
        </w:rPr>
      </w:pPr>
    </w:p>
    <w:p w:rsidR="00890D0D" w:rsidRPr="00D33A0B" w:rsidRDefault="00890D0D" w:rsidP="00890D0D">
      <w:pPr>
        <w:jc w:val="both"/>
        <w:rPr>
          <w:b/>
          <w:i/>
          <w:lang w:val="sr-Latn-CS"/>
        </w:rPr>
      </w:pPr>
    </w:p>
    <w:p w:rsidR="00890D0D" w:rsidRPr="00D33A0B" w:rsidRDefault="00890D0D" w:rsidP="00890D0D">
      <w:pPr>
        <w:jc w:val="both"/>
        <w:rPr>
          <w:b/>
          <w:i/>
          <w:lang w:val="sr-Latn-CS"/>
        </w:rPr>
      </w:pPr>
    </w:p>
    <w:p w:rsidR="00890D0D" w:rsidRPr="00D33A0B" w:rsidRDefault="00890D0D" w:rsidP="00890D0D">
      <w:pPr>
        <w:jc w:val="both"/>
        <w:rPr>
          <w:b/>
          <w:lang w:val="sr-Latn-CS"/>
        </w:rPr>
      </w:pPr>
      <w:r w:rsidRPr="00D33A0B">
        <w:rPr>
          <w:b/>
          <w:lang w:val="sr-Latn-CS"/>
        </w:rPr>
        <w:lastRenderedPageBreak/>
        <w:t>Starosna struktura izvršilaca prekršaja</w:t>
      </w:r>
    </w:p>
    <w:p w:rsidR="00890D0D" w:rsidRPr="00D33A0B" w:rsidRDefault="00890D0D" w:rsidP="00890D0D">
      <w:pPr>
        <w:ind w:firstLine="720"/>
        <w:jc w:val="both"/>
        <w:rPr>
          <w:b/>
          <w:i/>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8"/>
        <w:gridCol w:w="1818"/>
      </w:tblGrid>
      <w:tr w:rsidR="00890D0D" w:rsidRPr="00D33A0B" w:rsidTr="003D3B12">
        <w:tc>
          <w:tcPr>
            <w:tcW w:w="7038" w:type="dxa"/>
          </w:tcPr>
          <w:p w:rsidR="00890D0D" w:rsidRPr="00D33A0B" w:rsidRDefault="00890D0D" w:rsidP="003D3B12">
            <w:pPr>
              <w:rPr>
                <w:b/>
                <w:lang w:val="sr-Latn-CS"/>
              </w:rPr>
            </w:pPr>
            <w:r w:rsidRPr="00D33A0B">
              <w:rPr>
                <w:b/>
                <w:lang w:val="sr-Latn-CS"/>
              </w:rPr>
              <w:t>Maloljetnici</w:t>
            </w:r>
          </w:p>
        </w:tc>
        <w:tc>
          <w:tcPr>
            <w:tcW w:w="1818" w:type="dxa"/>
          </w:tcPr>
          <w:p w:rsidR="00890D0D" w:rsidRPr="00D33A0B" w:rsidRDefault="00890D0D" w:rsidP="003D3B12">
            <w:pPr>
              <w:jc w:val="center"/>
              <w:rPr>
                <w:lang w:val="sr-Latn-CS"/>
              </w:rPr>
            </w:pPr>
          </w:p>
        </w:tc>
      </w:tr>
      <w:tr w:rsidR="00890D0D" w:rsidRPr="00D33A0B" w:rsidTr="003D3B12">
        <w:tc>
          <w:tcPr>
            <w:tcW w:w="7038" w:type="dxa"/>
          </w:tcPr>
          <w:p w:rsidR="00890D0D" w:rsidRPr="00D33A0B" w:rsidRDefault="00890D0D" w:rsidP="003D3B12">
            <w:pPr>
              <w:rPr>
                <w:b/>
                <w:lang w:val="sr-Latn-CS"/>
              </w:rPr>
            </w:pPr>
            <w:r w:rsidRPr="00D33A0B">
              <w:rPr>
                <w:b/>
                <w:lang w:val="sr-Latn-CS"/>
              </w:rPr>
              <w:t>Od 18 do 30 godina</w:t>
            </w:r>
          </w:p>
        </w:tc>
        <w:tc>
          <w:tcPr>
            <w:tcW w:w="1818" w:type="dxa"/>
          </w:tcPr>
          <w:p w:rsidR="00890D0D" w:rsidRPr="00D33A0B" w:rsidRDefault="00890D0D" w:rsidP="003D3B12">
            <w:pPr>
              <w:jc w:val="center"/>
              <w:rPr>
                <w:lang w:val="sr-Latn-CS"/>
              </w:rPr>
            </w:pPr>
            <w:r w:rsidRPr="00D33A0B">
              <w:rPr>
                <w:lang w:val="sr-Latn-CS"/>
              </w:rPr>
              <w:t>8</w:t>
            </w:r>
          </w:p>
        </w:tc>
      </w:tr>
      <w:tr w:rsidR="00890D0D" w:rsidRPr="00D33A0B" w:rsidTr="003D3B12">
        <w:tc>
          <w:tcPr>
            <w:tcW w:w="7038" w:type="dxa"/>
          </w:tcPr>
          <w:p w:rsidR="00890D0D" w:rsidRPr="00D33A0B" w:rsidRDefault="00890D0D" w:rsidP="003D3B12">
            <w:pPr>
              <w:rPr>
                <w:b/>
                <w:lang w:val="sr-Latn-CS"/>
              </w:rPr>
            </w:pPr>
            <w:r w:rsidRPr="00D33A0B">
              <w:rPr>
                <w:b/>
                <w:lang w:val="sr-Latn-CS"/>
              </w:rPr>
              <w:t>Od 30 do 40 godina</w:t>
            </w:r>
          </w:p>
        </w:tc>
        <w:tc>
          <w:tcPr>
            <w:tcW w:w="1818" w:type="dxa"/>
          </w:tcPr>
          <w:p w:rsidR="00890D0D" w:rsidRPr="00D33A0B" w:rsidRDefault="00890D0D" w:rsidP="003D3B12">
            <w:pPr>
              <w:jc w:val="center"/>
              <w:rPr>
                <w:lang w:val="sr-Latn-CS"/>
              </w:rPr>
            </w:pPr>
            <w:r w:rsidRPr="00D33A0B">
              <w:rPr>
                <w:lang w:val="sr-Latn-CS"/>
              </w:rPr>
              <w:t>2</w:t>
            </w:r>
          </w:p>
        </w:tc>
      </w:tr>
      <w:tr w:rsidR="00890D0D" w:rsidRPr="00D33A0B" w:rsidTr="003D3B12">
        <w:tc>
          <w:tcPr>
            <w:tcW w:w="7038" w:type="dxa"/>
          </w:tcPr>
          <w:p w:rsidR="00890D0D" w:rsidRPr="00D33A0B" w:rsidRDefault="00890D0D" w:rsidP="003D3B12">
            <w:pPr>
              <w:rPr>
                <w:b/>
                <w:lang w:val="sr-Latn-CS"/>
              </w:rPr>
            </w:pPr>
            <w:r w:rsidRPr="00D33A0B">
              <w:rPr>
                <w:b/>
                <w:lang w:val="sr-Latn-CS"/>
              </w:rPr>
              <w:t>Preko 40 godina</w:t>
            </w:r>
          </w:p>
        </w:tc>
        <w:tc>
          <w:tcPr>
            <w:tcW w:w="1818" w:type="dxa"/>
          </w:tcPr>
          <w:p w:rsidR="00890D0D" w:rsidRPr="00D33A0B" w:rsidRDefault="00890D0D" w:rsidP="003D3B12">
            <w:pPr>
              <w:jc w:val="center"/>
              <w:rPr>
                <w:lang w:val="sr-Latn-CS"/>
              </w:rPr>
            </w:pPr>
            <w:r w:rsidRPr="00D33A0B">
              <w:rPr>
                <w:lang w:val="sr-Latn-CS"/>
              </w:rPr>
              <w:t>7</w:t>
            </w:r>
          </w:p>
        </w:tc>
      </w:tr>
    </w:tbl>
    <w:p w:rsidR="00890D0D" w:rsidRPr="00D33A0B" w:rsidRDefault="00890D0D" w:rsidP="00890D0D">
      <w:pPr>
        <w:ind w:firstLine="720"/>
        <w:jc w:val="both"/>
        <w:rPr>
          <w:b/>
          <w:i/>
          <w:lang w:val="sr-Latn-CS"/>
        </w:rPr>
      </w:pPr>
    </w:p>
    <w:p w:rsidR="00890D0D" w:rsidRPr="00D33A0B" w:rsidRDefault="00890D0D" w:rsidP="00890D0D">
      <w:pPr>
        <w:jc w:val="both"/>
        <w:rPr>
          <w:b/>
          <w:lang w:val="sr-Latn-CS"/>
        </w:rPr>
      </w:pPr>
      <w:r w:rsidRPr="00D33A0B">
        <w:rPr>
          <w:b/>
          <w:lang w:val="sr-Latn-CS"/>
        </w:rPr>
        <w:t>Vrijeme narušavanja Javnog reda i mira</w:t>
      </w:r>
    </w:p>
    <w:p w:rsidR="00890D0D" w:rsidRPr="00D33A0B" w:rsidRDefault="00890D0D" w:rsidP="00890D0D">
      <w:pPr>
        <w:ind w:firstLine="720"/>
        <w:jc w:val="both"/>
        <w:rPr>
          <w:b/>
          <w:i/>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8"/>
        <w:gridCol w:w="1818"/>
      </w:tblGrid>
      <w:tr w:rsidR="00890D0D" w:rsidRPr="00D33A0B" w:rsidTr="003D3B12">
        <w:tc>
          <w:tcPr>
            <w:tcW w:w="7038" w:type="dxa"/>
          </w:tcPr>
          <w:p w:rsidR="00890D0D" w:rsidRPr="00D33A0B" w:rsidRDefault="00890D0D" w:rsidP="003D3B12">
            <w:pPr>
              <w:rPr>
                <w:b/>
                <w:lang w:val="sr-Latn-CS"/>
              </w:rPr>
            </w:pPr>
            <w:r w:rsidRPr="00D33A0B">
              <w:rPr>
                <w:b/>
                <w:lang w:val="sr-Latn-CS"/>
              </w:rPr>
              <w:t>Od 00 do 06 časova</w:t>
            </w:r>
          </w:p>
        </w:tc>
        <w:tc>
          <w:tcPr>
            <w:tcW w:w="1818" w:type="dxa"/>
          </w:tcPr>
          <w:p w:rsidR="00890D0D" w:rsidRPr="00D33A0B" w:rsidRDefault="00890D0D" w:rsidP="003D3B12">
            <w:pPr>
              <w:jc w:val="center"/>
              <w:rPr>
                <w:lang w:val="sr-Latn-CS"/>
              </w:rPr>
            </w:pPr>
            <w:r w:rsidRPr="00D33A0B">
              <w:rPr>
                <w:lang w:val="sr-Latn-CS"/>
              </w:rPr>
              <w:t>4</w:t>
            </w:r>
          </w:p>
        </w:tc>
      </w:tr>
      <w:tr w:rsidR="00890D0D" w:rsidRPr="00D33A0B" w:rsidTr="003D3B12">
        <w:tc>
          <w:tcPr>
            <w:tcW w:w="7038" w:type="dxa"/>
          </w:tcPr>
          <w:p w:rsidR="00890D0D" w:rsidRPr="00D33A0B" w:rsidRDefault="00890D0D" w:rsidP="003D3B12">
            <w:pPr>
              <w:rPr>
                <w:b/>
                <w:lang w:val="sr-Latn-CS"/>
              </w:rPr>
            </w:pPr>
            <w:r w:rsidRPr="00D33A0B">
              <w:rPr>
                <w:b/>
                <w:lang w:val="sr-Latn-CS"/>
              </w:rPr>
              <w:t>Od 06 do 12 časova</w:t>
            </w:r>
          </w:p>
        </w:tc>
        <w:tc>
          <w:tcPr>
            <w:tcW w:w="1818" w:type="dxa"/>
          </w:tcPr>
          <w:p w:rsidR="00890D0D" w:rsidRPr="00D33A0B" w:rsidRDefault="00890D0D" w:rsidP="003D3B12">
            <w:pPr>
              <w:jc w:val="center"/>
              <w:rPr>
                <w:lang w:val="sr-Latn-CS"/>
              </w:rPr>
            </w:pPr>
            <w:r w:rsidRPr="00D33A0B">
              <w:rPr>
                <w:lang w:val="sr-Latn-CS"/>
              </w:rPr>
              <w:t>4</w:t>
            </w:r>
          </w:p>
        </w:tc>
      </w:tr>
      <w:tr w:rsidR="00890D0D" w:rsidRPr="00D33A0B" w:rsidTr="003D3B12">
        <w:tc>
          <w:tcPr>
            <w:tcW w:w="7038" w:type="dxa"/>
          </w:tcPr>
          <w:p w:rsidR="00890D0D" w:rsidRPr="00D33A0B" w:rsidRDefault="00890D0D" w:rsidP="003D3B12">
            <w:pPr>
              <w:rPr>
                <w:b/>
                <w:lang w:val="sr-Latn-CS"/>
              </w:rPr>
            </w:pPr>
            <w:r w:rsidRPr="00D33A0B">
              <w:rPr>
                <w:b/>
                <w:lang w:val="sr-Latn-CS"/>
              </w:rPr>
              <w:t>Od 12 do 18 časova</w:t>
            </w:r>
          </w:p>
        </w:tc>
        <w:tc>
          <w:tcPr>
            <w:tcW w:w="1818" w:type="dxa"/>
          </w:tcPr>
          <w:p w:rsidR="00890D0D" w:rsidRPr="00D33A0B" w:rsidRDefault="00890D0D" w:rsidP="003D3B12">
            <w:pPr>
              <w:jc w:val="center"/>
              <w:rPr>
                <w:lang w:val="sr-Latn-CS"/>
              </w:rPr>
            </w:pPr>
            <w:r w:rsidRPr="00D33A0B">
              <w:rPr>
                <w:lang w:val="sr-Latn-CS"/>
              </w:rPr>
              <w:t>2</w:t>
            </w:r>
          </w:p>
        </w:tc>
      </w:tr>
      <w:tr w:rsidR="00890D0D" w:rsidRPr="00D33A0B" w:rsidTr="003D3B12">
        <w:tc>
          <w:tcPr>
            <w:tcW w:w="7038" w:type="dxa"/>
          </w:tcPr>
          <w:p w:rsidR="00890D0D" w:rsidRPr="00D33A0B" w:rsidRDefault="00890D0D" w:rsidP="003D3B12">
            <w:pPr>
              <w:rPr>
                <w:b/>
                <w:lang w:val="sr-Latn-CS"/>
              </w:rPr>
            </w:pPr>
            <w:r w:rsidRPr="00D33A0B">
              <w:rPr>
                <w:b/>
                <w:lang w:val="sr-Latn-CS"/>
              </w:rPr>
              <w:t>Od 18 do 24 časova</w:t>
            </w:r>
          </w:p>
        </w:tc>
        <w:tc>
          <w:tcPr>
            <w:tcW w:w="1818" w:type="dxa"/>
          </w:tcPr>
          <w:p w:rsidR="00890D0D" w:rsidRPr="00D33A0B" w:rsidRDefault="00890D0D" w:rsidP="003D3B12">
            <w:pPr>
              <w:jc w:val="center"/>
              <w:rPr>
                <w:lang w:val="sr-Latn-CS"/>
              </w:rPr>
            </w:pPr>
            <w:r w:rsidRPr="00D33A0B">
              <w:rPr>
                <w:lang w:val="sr-Latn-CS"/>
              </w:rPr>
              <w:t>/</w:t>
            </w:r>
          </w:p>
        </w:tc>
      </w:tr>
    </w:tbl>
    <w:p w:rsidR="00890D0D" w:rsidRPr="00D33A0B" w:rsidRDefault="00890D0D" w:rsidP="00890D0D">
      <w:pPr>
        <w:ind w:firstLine="720"/>
        <w:jc w:val="both"/>
        <w:rPr>
          <w:b/>
          <w:i/>
          <w:lang w:val="sr-Latn-CS"/>
        </w:rPr>
      </w:pPr>
    </w:p>
    <w:p w:rsidR="00890D0D" w:rsidRPr="00D33A0B" w:rsidRDefault="00890D0D" w:rsidP="00890D0D">
      <w:pPr>
        <w:jc w:val="both"/>
        <w:rPr>
          <w:lang w:val="sr-Latn-CS"/>
        </w:rPr>
      </w:pPr>
      <w:r w:rsidRPr="00D33A0B">
        <w:rPr>
          <w:lang w:val="sr-Latn-CS"/>
        </w:rPr>
        <w:t xml:space="preserve">Analizirajući navedene podatke, i postignute rezultate, te korišćenjem komparativne metode sa periodom 2015. godine, kada je registrovano 15 narušavanja Javnog reda i mira, konstartujemo blago smanjenje od oko 20 %. Kao bitne aktivnosti u 2016. godini ističemo i obezbjedjenja niza kulturnih, vjerskih i ostalih manifestacija, kojom prilikom nije zabilježena ni jedna nepravilnost ili narušavanje Javnog reda i mira na navedenim manifestacijama, koa ni prilikom obezbjedjenja velikog broja štićenih ličnosti koje su posjetile Tivat u toku turističke sezone. </w:t>
      </w:r>
    </w:p>
    <w:p w:rsidR="00890D0D" w:rsidRPr="00D33A0B" w:rsidRDefault="00890D0D" w:rsidP="00890D0D">
      <w:pPr>
        <w:jc w:val="both"/>
        <w:rPr>
          <w:lang w:val="sr-Latn-CS"/>
        </w:rPr>
      </w:pPr>
      <w:r w:rsidRPr="00D33A0B">
        <w:rPr>
          <w:rFonts w:eastAsia="Calibri"/>
          <w:lang w:val="sr-Latn-CS"/>
        </w:rPr>
        <w:t xml:space="preserve">Ističemo slučaj narušavanja JRiM u vezi ispisivanja grafita na prostorijama Osnovne škole i Dječijeg vrtića, koje su svojim sadržajem izazvale opšte interesovanje javnosti, čak i preko sredstava informisanja. Dobrim radom operativnih službenika na terenu, počinioci su otkriveni, procesuirani nadležnim sudskim organima, izvršena je analiza prekršaja i njegove pozadine, tako da je slučaj zatvoren bez daljih problema i sa velikim pozitivnim reakcijama od strane građana i medija. U vrijeme ljetnje turističke sezone na teritoriji opštine Tivat održano je niz kulturnih manifestacija i koncertnih dešavanja, pri čemu treba pomenuti Tivatske prugatorije, koncerte Josipe Lisac, Nena Belana, „Partibrejkers“, „Mostar svedah reunion“ i drugih, te niz manifestaciji u organizaciji Turističke organizacije Tivta poput “Ljeta dobrog ukusa” „Fešte od rogača“ koje su privukle značajan broj gostiju i protekle bez problema. Na teritoriji opštine Tivat i pored prisustava većeg broja gostiju i posjetilaca nije bila izražena problematika “prosječenja” i “odganizovanja prosjačenja”, kao ni problematika “stitnih kradja” na plažama što je pokazatelj da su operativnim radom, obilascima i prisustvom na terenu ovi vidovi devijentnog ponašanja svedeni na najmanju moguću mjeru. Takodje, ističemo i asistenciju </w:t>
      </w:r>
      <w:r w:rsidRPr="00D33A0B">
        <w:rPr>
          <w:lang w:val="sr-Latn-CS"/>
        </w:rPr>
        <w:t>shodno zahtjevu Uprave za inspekcijske poslove, Sektoru zaštite životne sredine i prostora pružena je asistncija navedenom organu prilikom uklanjanja bespravno postavljenog objekta kog ugostiteljskog objekta „Apolon“ na gradskoj obali „Pine“ u Tivtu koja je izazvala zbog svoje specifičnosti mogla izazvati veću pažnju i pozornost javnosti, ali je adekvatnom bezbjednosnom procjenom i planom protekla nesmetano.</w:t>
      </w:r>
    </w:p>
    <w:p w:rsidR="00890D0D" w:rsidRPr="00D33A0B" w:rsidRDefault="00890D0D" w:rsidP="00890D0D">
      <w:pPr>
        <w:jc w:val="both"/>
        <w:rPr>
          <w:rFonts w:eastAsia="Calibri"/>
          <w:lang w:val="sr-Latn-CS"/>
        </w:rPr>
      </w:pPr>
      <w:r w:rsidRPr="00D33A0B">
        <w:rPr>
          <w:lang w:val="sr-Latn-CS"/>
        </w:rPr>
        <w:t>Takodje, u izvještajnom periodu u avgustu od strane „DOO Ponta“ – Seljanovo, podnijet je zahtjev za održavanje koncerta elektronske muzike na platou plažnog bara „Ponta“ na Seljanovu kojom prilikom je donijeto rješenje o zabrani navedenog skupa, zbog neblagovremene prijave od strane organizatora.</w:t>
      </w:r>
    </w:p>
    <w:p w:rsidR="00890D0D" w:rsidRPr="00D33A0B" w:rsidRDefault="00890D0D" w:rsidP="00890D0D">
      <w:pPr>
        <w:jc w:val="both"/>
        <w:rPr>
          <w:rFonts w:eastAsia="Calibri"/>
          <w:lang w:val="sr-Latn-CS"/>
        </w:rPr>
      </w:pPr>
      <w:r w:rsidRPr="00D33A0B">
        <w:rPr>
          <w:rFonts w:eastAsia="Calibri"/>
          <w:lang w:val="sr-Latn-CS"/>
        </w:rPr>
        <w:t>O</w:t>
      </w:r>
      <w:r w:rsidRPr="00D33A0B">
        <w:rPr>
          <w:lang w:val="sr-Latn-CS"/>
        </w:rPr>
        <w:t xml:space="preserve">perativnim radom na terenu službenici policije rasvijetlili su veći broj krivičnih djela, a svojim preventivnim prisustvom i stalnim obilascima grada, kao i prigradskih naselja, od kojih ističemo poluostrvo Luštica, sa naseljima Radovići i Krašići bitno su doprinijeli da dođe do smanjenja stope kriminaliteta, kao i da stanje opšte bezbjednosti na teritoriji Tivta bude podignuto na veći nivo. Poseban akcenat je stavljen i na problem „prosjačenja“ kojom prilikom je evidentirano nekoliko slučajeva, a izvroci su pravovremeno i blegovremeno procesuirani. </w:t>
      </w:r>
    </w:p>
    <w:p w:rsidR="00890D0D" w:rsidRPr="00D33A0B" w:rsidRDefault="00890D0D" w:rsidP="00890D0D">
      <w:pPr>
        <w:jc w:val="both"/>
        <w:rPr>
          <w:lang w:val="sr-Latn-CS"/>
        </w:rPr>
      </w:pPr>
      <w:r w:rsidRPr="00D33A0B">
        <w:rPr>
          <w:lang w:val="sr-Latn-CS"/>
        </w:rPr>
        <w:t xml:space="preserve">Shodno gore navedenom, kako u iskazanoj problematici u radu, tako i u vremenskim uslovima, te postignutim rezultatima rada, koji su uticali na stanje bezbjednosti saobraćaja, ocjenjujemo da je </w:t>
      </w:r>
      <w:r w:rsidRPr="00D33A0B">
        <w:rPr>
          <w:lang w:val="sr-Latn-CS"/>
        </w:rPr>
        <w:lastRenderedPageBreak/>
        <w:t>stanje BS veoma povoljno, a rezultati rada službenika policije po liniji bezbjednosti saobraćaja su dobri.</w:t>
      </w:r>
    </w:p>
    <w:p w:rsidR="00890D0D" w:rsidRPr="00D33A0B" w:rsidRDefault="00890D0D" w:rsidP="00890D0D">
      <w:pPr>
        <w:jc w:val="both"/>
        <w:rPr>
          <w:lang w:val="sr-Latn-CS"/>
        </w:rPr>
      </w:pPr>
      <w:r w:rsidRPr="00D33A0B">
        <w:rPr>
          <w:lang w:val="sr-Latn-CS"/>
        </w:rPr>
        <w:t>Takođe napominjemo da se saobraćajna patrola upućuje po prijavama građana iz oblasti javnog reda i mira, radi obezbjeđenja lica mjesta izvršenja KD, na trasama obezbjeđenja štićenih ličnosti, asistencijama, sprovodničkim službama idr., što dodatno utiče na rezultate iz oblasti bezbjednosti saobraćaja, pri čemu je evidentirani 1 slučaj smrtno stradalog lica (pješaka).</w:t>
      </w:r>
    </w:p>
    <w:p w:rsidR="00E5449B" w:rsidRPr="00D33A0B" w:rsidRDefault="00E5449B" w:rsidP="00E5449B">
      <w:pPr>
        <w:jc w:val="both"/>
        <w:rPr>
          <w:b/>
          <w:sz w:val="28"/>
          <w:szCs w:val="28"/>
          <w:lang w:val="sr-Latn-CS"/>
        </w:rPr>
      </w:pPr>
    </w:p>
    <w:p w:rsidR="00E5449B" w:rsidRPr="00D33A0B" w:rsidRDefault="00E5449B" w:rsidP="00E5449B">
      <w:pPr>
        <w:jc w:val="both"/>
        <w:rPr>
          <w:b/>
          <w:u w:val="single"/>
          <w:lang w:val="sr-Latn-CS"/>
        </w:rPr>
      </w:pPr>
      <w:r w:rsidRPr="00D33A0B">
        <w:rPr>
          <w:b/>
          <w:u w:val="single"/>
          <w:lang w:val="sr-Latn-CS"/>
        </w:rPr>
        <w:t>JP KOMUNALNO – TIVAT</w:t>
      </w:r>
    </w:p>
    <w:p w:rsidR="00E5449B" w:rsidRPr="00D33A0B" w:rsidRDefault="00E5449B" w:rsidP="00E5449B">
      <w:pPr>
        <w:jc w:val="both"/>
        <w:rPr>
          <w:lang w:val="sr-Latn-CS"/>
        </w:rPr>
      </w:pP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U toku ljetnje turističke sezone (jun,jul i avgust) »Komunalno» D.O.O.-Tivat je prikupilo:</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3.014 t  komunalnog otpada,</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xml:space="preserve">-  preko 126 t ambalažnog kartona-papira (selektovano) , </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preko 2 t PET ambalaže(selektovano);</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preko 1900m</w:t>
      </w:r>
      <w:r w:rsidRPr="00D33A0B">
        <w:rPr>
          <w:rFonts w:ascii="Times New Roman" w:hAnsi="Times New Roman"/>
          <w:sz w:val="24"/>
          <w:szCs w:val="24"/>
          <w:vertAlign w:val="superscript"/>
          <w:lang w:val="sr-Latn-CS"/>
        </w:rPr>
        <w:t>3</w:t>
      </w:r>
      <w:r w:rsidRPr="00D33A0B">
        <w:rPr>
          <w:rFonts w:ascii="Times New Roman" w:hAnsi="Times New Roman"/>
          <w:sz w:val="24"/>
          <w:szCs w:val="24"/>
          <w:lang w:val="sr-Latn-CS"/>
        </w:rPr>
        <w:t xml:space="preserve"> zelenog otpada iz bašta i parkova,</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preko 700 m</w:t>
      </w:r>
      <w:r w:rsidRPr="00D33A0B">
        <w:rPr>
          <w:rFonts w:ascii="Times New Roman" w:hAnsi="Times New Roman"/>
          <w:sz w:val="24"/>
          <w:szCs w:val="24"/>
          <w:vertAlign w:val="superscript"/>
          <w:lang w:val="sr-Latn-CS"/>
        </w:rPr>
        <w:t>3</w:t>
      </w:r>
      <w:r w:rsidRPr="00D33A0B">
        <w:rPr>
          <w:rFonts w:ascii="Times New Roman" w:hAnsi="Times New Roman"/>
          <w:sz w:val="24"/>
          <w:szCs w:val="24"/>
          <w:lang w:val="sr-Latn-CS"/>
        </w:rPr>
        <w:t xml:space="preserve"> šuta, kamenja i zemlje,</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cca 200m</w:t>
      </w:r>
      <w:r w:rsidRPr="00D33A0B">
        <w:rPr>
          <w:rFonts w:ascii="Times New Roman" w:hAnsi="Times New Roman"/>
          <w:sz w:val="24"/>
          <w:szCs w:val="24"/>
          <w:vertAlign w:val="superscript"/>
          <w:lang w:val="sr-Latn-CS"/>
        </w:rPr>
        <w:t xml:space="preserve">3 </w:t>
      </w:r>
      <w:r w:rsidRPr="00D33A0B">
        <w:rPr>
          <w:rFonts w:ascii="Times New Roman" w:hAnsi="Times New Roman"/>
          <w:sz w:val="24"/>
          <w:szCs w:val="24"/>
          <w:lang w:val="sr-Latn-CS"/>
        </w:rPr>
        <w:t>kabastog otpada.</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Svakodnevno su se obavljali poslovi čišćenja ulica, trotoara i šetališta. Dva puta sedmično se pralo gradsko šetalište sa Pinama i neustupljenim dijelom gradske plaže dok je specijalno vozilo „čistilica“ održavalo lokalne puteve od Lastve do Župe.</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xml:space="preserve">U Velikom gradskom parku kao i manjim gradskim parkovima pored svakodnevnog čišćenja (uklanjanje otpada, čišćenja staza, rigola) i održavanja (parkovskih klupa, kanti za otpatke) češće nego što je to bio slučaj ranijih godina izvršeno je grebuljanje otpalog, sasušenog lišća-iglica i time preduzete mjere zaštite od izbijanja požara imajući u vidu da je ove sezone bio jako dug period bez padavina. </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Sušni period pogodovao je čišćenju oborinskih kanala, čije održavanje je u našoj nadležnosti, tako da smo u navedenom periodu uspijeli da pokosimo i očistimo više desetina kanala i potoka i na taj način spremno dočekamo nastupajući kišni period.</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xml:space="preserve"> Akcija «Neka bude čisto» (koji zajednički realizuju i finansiraju Ministarstvo održivog razvoja, Ministarstvo saobraćaja i pomorstva, Direkcija za saobraćaj, Opštine i njihova  Javna komunalna preduzeća, Zavod za zapošljavanje CG i JP za upravljanje morskim dobrom CG)  i ove sezone je dala vrlo dobre rezultate. Vođeni stručnim timom ljudi, radnici koji su zaposleni u okviru navedene akcije svakodnevno su bili angažovani na radovima u uklanjanju otpada, čišćenju (odvodnih rigola, kanala) i održavanju  (košenja trave, ozelenjavanje) magistralnog i regionalnih puteva u dužini od oko 30km.</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Pored navedenih radnici našeg preduzeća redovno su uklanjali otpada i čistili odvodne rigole, kanale sa lokalnih puteva ukupne dužine preko 20km.</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xml:space="preserve">Neustupljene plaže i obala duž cijele Opštine (od Veriga do Krašića - Petrovića) redovno su se čistile od raznih vrsta otpada (komunalni, gabaritni, zeleni i dr.). Neke plaže su zbog velike posjećenosti održavane i dva puta u toku dana. </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 xml:space="preserve">Na obali Pine, pored 9 plovila iz bližeg okruženja (HN, BD, KO i TV) zabilježeno uplovljavanje 49 inostranih glisera, jahti,  jedrilica i jedrenjak  (4 sa hrvatskom, 29 sa američkom, 4 sa ruskom, 3 sa italijanskom, 4 sa poljskom, 2 sa srpskom i 3 sa crnogorskom  zastavom). </w:t>
      </w:r>
    </w:p>
    <w:p w:rsidR="0067676D"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U gradskoj marini (lučici Kalimanj) u toku sezone na usluzi mještana i turista svakodnevno je bila dizalica za plovne objekte nosivosti 5 t.</w:t>
      </w:r>
    </w:p>
    <w:p w:rsidR="00E5449B" w:rsidRPr="00D33A0B" w:rsidRDefault="0067676D" w:rsidP="0067676D">
      <w:pPr>
        <w:pStyle w:val="NoSpacing"/>
        <w:jc w:val="both"/>
        <w:rPr>
          <w:rFonts w:ascii="Times New Roman" w:hAnsi="Times New Roman"/>
          <w:sz w:val="24"/>
          <w:szCs w:val="24"/>
          <w:lang w:val="sr-Latn-CS"/>
        </w:rPr>
      </w:pPr>
      <w:r w:rsidRPr="00D33A0B">
        <w:rPr>
          <w:rFonts w:ascii="Times New Roman" w:hAnsi="Times New Roman"/>
          <w:sz w:val="24"/>
          <w:szCs w:val="24"/>
          <w:lang w:val="sr-Latn-CS"/>
        </w:rPr>
        <w:t>Za vrijeme svih kulturno-zabavnih manifestacija koje su se održale u našoj Opštini organizovano je prikupljanja otpada za vrijeme trajanja i nakon njihovog održavanja dok je na nekim manifestacijama naše društvo uzelo učešće i u samoj organizaciji (Bokeška maslina, Jadranske igre i dr.).</w:t>
      </w:r>
    </w:p>
    <w:p w:rsidR="00063AF2" w:rsidRPr="00D33A0B" w:rsidRDefault="00063AF2" w:rsidP="00E5449B">
      <w:pPr>
        <w:jc w:val="both"/>
        <w:rPr>
          <w:lang w:val="sr-Latn-CS"/>
        </w:rPr>
      </w:pPr>
    </w:p>
    <w:p w:rsidR="0067676D" w:rsidRPr="00D33A0B" w:rsidRDefault="0067676D" w:rsidP="00E5449B">
      <w:pPr>
        <w:jc w:val="both"/>
        <w:rPr>
          <w:lang w:val="sr-Latn-CS"/>
        </w:rPr>
      </w:pPr>
    </w:p>
    <w:p w:rsidR="00E5449B" w:rsidRPr="00D33A0B" w:rsidRDefault="00E5449B" w:rsidP="00E5449B">
      <w:pPr>
        <w:rPr>
          <w:b/>
          <w:sz w:val="28"/>
          <w:szCs w:val="28"/>
          <w:u w:val="single"/>
          <w:lang w:val="sr-Latn-CS"/>
        </w:rPr>
      </w:pPr>
      <w:r w:rsidRPr="00D33A0B">
        <w:rPr>
          <w:b/>
          <w:sz w:val="28"/>
          <w:szCs w:val="28"/>
          <w:u w:val="single"/>
          <w:lang w:val="sr-Latn-CS"/>
        </w:rPr>
        <w:lastRenderedPageBreak/>
        <w:t>JP VODOVOD I KANALIZACIJA</w:t>
      </w:r>
    </w:p>
    <w:p w:rsidR="00E5449B" w:rsidRPr="00D33A0B" w:rsidRDefault="00E5449B" w:rsidP="00E5449B">
      <w:pPr>
        <w:jc w:val="both"/>
        <w:rPr>
          <w:sz w:val="28"/>
          <w:szCs w:val="28"/>
          <w:lang w:val="sr-Latn-CS"/>
        </w:rPr>
      </w:pPr>
    </w:p>
    <w:p w:rsidR="00E5449B" w:rsidRPr="00D33A0B" w:rsidRDefault="00E425F8" w:rsidP="00E5449B">
      <w:pPr>
        <w:jc w:val="both"/>
        <w:rPr>
          <w:lang w:val="sr-Latn-CS"/>
        </w:rPr>
      </w:pPr>
      <w:r w:rsidRPr="00D33A0B">
        <w:rPr>
          <w:lang w:val="sr-Latn-CS"/>
        </w:rPr>
        <w:t>Prema izvještaju JP „Vodovod i kanalizacija“ t</w:t>
      </w:r>
      <w:r w:rsidR="00E5449B" w:rsidRPr="00D33A0B">
        <w:rPr>
          <w:lang w:val="sr-Latn-CS"/>
        </w:rPr>
        <w:t>okom turističke sezone (jun, jul, avgust), nije bilo prekida niti većih problema u vodosnabdijevanju na cijeloj teritoriji Opštine Tivat unatoč povećanju potrošnje.</w:t>
      </w:r>
    </w:p>
    <w:p w:rsidR="00E5449B" w:rsidRPr="00D33A0B" w:rsidRDefault="00E5449B" w:rsidP="00E5449B">
      <w:pPr>
        <w:jc w:val="both"/>
        <w:rPr>
          <w:lang w:val="sr-Latn-CS"/>
        </w:rPr>
      </w:pPr>
    </w:p>
    <w:p w:rsidR="00E5449B" w:rsidRPr="00D33A0B" w:rsidRDefault="00E5449B" w:rsidP="00E5449B">
      <w:pPr>
        <w:jc w:val="both"/>
        <w:rPr>
          <w:sz w:val="28"/>
          <w:szCs w:val="28"/>
          <w:u w:val="single"/>
          <w:lang w:val="sr-Latn-CS"/>
        </w:rPr>
      </w:pPr>
      <w:r w:rsidRPr="00D33A0B">
        <w:rPr>
          <w:b/>
          <w:sz w:val="28"/>
          <w:szCs w:val="28"/>
          <w:u w:val="single"/>
          <w:lang w:val="sr-Latn-CS"/>
        </w:rPr>
        <w:t>CENTAR ZA KULTURU TIVAT</w:t>
      </w:r>
    </w:p>
    <w:p w:rsidR="00E5449B" w:rsidRPr="00D33A0B" w:rsidRDefault="00E5449B" w:rsidP="00E5449B">
      <w:pPr>
        <w:jc w:val="both"/>
        <w:rPr>
          <w:sz w:val="28"/>
          <w:szCs w:val="28"/>
          <w:lang w:val="sr-Latn-CS"/>
        </w:rPr>
      </w:pP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rPr>
        <w:t>11. Festival Purgatorije je otvoren 21.juna, a završen 31.avgusta. Održano je 77 programa i to 10 takmičarskih predstava i 69 pratećeg programa:  34 pozoršnih predstava (za djecu i odrasle), 13 muzičkih programa, 7 književna programa, 9 likovnih programa, 4 ostalog programa (balet, film I sl.). Više od 11.000 izdatih karata, preko 18.000 posjetilaca i preko 1.500 učesnika programa. Festival je otvoren spektakularnim koncertnim izvođenjem scenske kantate KARMINE BURANE u izvođenju SNP Novi Sad na Svjetski dan muzike, a zatvoren svečanom dodjelom nagrada i izvođenjem mjuzikla SPAMALOT. Po ocjeni bloga “Belgrade ITD culture” Purgatorije je proglašen za najbolji regionalni festival 2015/2016.</w:t>
      </w: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rPr>
        <w:t>Festival Purgatorije duboko je pustio svoje korjene i postao jedan od najprestižnijih festivala u regionu. Na njemu su bili prisutni najpoznatije kulturne institucije, najgledanije predstave i programi, velika imena umjetničkog stvralaštva regiona i na kraju brojna publika kako domaća iz Boke i Crne Gore tako i naši turisti koji su se odmarali na našem moru ali su imali veliku potrebu da budu dio kulturnih dešavanja na festivalu Purgatorije.</w:t>
      </w: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rPr>
        <w:t>Tivatski festival , zahvaljujući svojoj besprekornoj organizaciji i vodjstvu, suštinskom htjenju da bude zbirno mjesto umjetnički relevantnih ostvarenja a ne tek  jedan u nizu ljetnjih festivala kojim gazduje duh površne zabave, festival je koji uživa ogroman ugled i značaj u pozorišnom svijetu. Postalo je pitanje umjetničkog prestiža biti u festivalskoj selekciji </w:t>
      </w:r>
      <w:r w:rsidRPr="00D33A0B">
        <w:rPr>
          <w:rFonts w:ascii="Times New Roman" w:hAnsi="Times New Roman"/>
          <w:i/>
          <w:iCs/>
          <w:sz w:val="24"/>
          <w:szCs w:val="24"/>
        </w:rPr>
        <w:t>Purgatorija</w:t>
      </w:r>
      <w:r w:rsidRPr="00D33A0B">
        <w:rPr>
          <w:rFonts w:ascii="Times New Roman" w:hAnsi="Times New Roman"/>
          <w:sz w:val="24"/>
          <w:szCs w:val="24"/>
        </w:rPr>
        <w:t>! Festival je stvorio širok krug svojih poštovalaca i razvio ogromno povjerenje i ljubav publike koja ga godinama prati i ocjenjuje.</w:t>
      </w: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rPr>
        <w:t>Najznačajnije teatarske kuće regiona bili su naši gosti kao Atelje 212, pozorište Proscenium Beograd, Gavella Zagreb, CNP Podgorica, Music Muving teatar Bitola, Narodno pozorište Beograd, SNP Novi Sad, Bitef Beograd sa svojim najboljim ostvarenjima u protekloj godini. Velika rediteljska imena su imali svoje predstave na festivalu kao što je Milan Karadžić, Aleksandar Popovski, Andraš Urban, Ana Vukotić, Edvard Klug, Milan Nešković kao i legende regionanog glumista od Seke Sabljic, Anita Mančić, Nikola Kojo, Gordan Kičić, Svetozar Cvetković, i drugih. Selekcija Tanje Mandic Rigonat u takmicarskom djelu festivala bila je izrsna najboljih predstava koje su produkavane u regionu.</w:t>
      </w: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rPr>
        <w:t>Muzički dio festivala osoben na svoj način počeo je maturantima i profestorima Muzičke škole Tivat, nakon čega su se ređala velika imena poput Srđana BUlatovića, DArka NIkčevića, grupe Viva vox, FA Tanec Skoplje, Radmila Karaklajić  do polufinalne večeri Festivala klapa  i kao i neponovljivog koncerta i proslave 50 godina od nastanka pjesme BOKEŠKA NOĆ autorke Maje PErfiljeve.</w:t>
      </w: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rPr>
        <w:t>Književni program izmedju ostalih okupio je najpoznatija književna imena regiona kao sto su  Milan Draško, Blagota MItrić, Đuro RAdosavović, Aleksandar Gavranići drugi. U sklopu Festivala bile su dvije promocije monografija i to Crteži Ivana Kneževića  i monografija KRTOLJSKE PRIČE autora Zorana Mujbegovića.</w:t>
      </w: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rPr>
        <w:t>Kontinuirani likovni program u toku festivala ponudio je likovnoj publici izmedju ostalih i takva umjetnička imena kao sto su Milutin Obradović, Milenko Peričić, Milijana Vujović, Stevan Kordić i drugi.</w:t>
      </w: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lang w:val="it-IT"/>
        </w:rPr>
        <w:t>U toku festivala održane su i dvije premijere i to pozorišne predstave TRE SORELLE koju smo radili u koprodukciji sa FDU Cetinje i pozorišne predstave KOŠTANA koju smo radili u koprodukciji sa SNP Novi Sad i SKC Novi Sad.</w:t>
      </w:r>
    </w:p>
    <w:p w:rsidR="004D1F76" w:rsidRPr="00D33A0B" w:rsidRDefault="004D1F76" w:rsidP="004D1F76">
      <w:pPr>
        <w:pStyle w:val="NoSpacing"/>
        <w:jc w:val="both"/>
        <w:rPr>
          <w:rFonts w:ascii="Times New Roman" w:hAnsi="Times New Roman"/>
          <w:sz w:val="24"/>
          <w:szCs w:val="24"/>
        </w:rPr>
      </w:pPr>
      <w:r w:rsidRPr="00D33A0B">
        <w:rPr>
          <w:rFonts w:ascii="Times New Roman" w:hAnsi="Times New Roman"/>
          <w:sz w:val="24"/>
          <w:szCs w:val="24"/>
          <w:lang w:val="it-IT"/>
        </w:rPr>
        <w:lastRenderedPageBreak/>
        <w:t>Važna činjenica koju treba saopštiti jeste da je tokom festivala redovno bilo šest predstava Centra za kulturu sto je veliki kapital za razvoj ustanove i kulture ovoga grada</w:t>
      </w:r>
    </w:p>
    <w:p w:rsidR="00BC0F47" w:rsidRPr="00D33A0B" w:rsidRDefault="00BC0F47" w:rsidP="00BC0F47">
      <w:pPr>
        <w:pStyle w:val="NoSpacing"/>
        <w:jc w:val="both"/>
        <w:rPr>
          <w:rFonts w:ascii="Times New Roman" w:hAnsi="Times New Roman"/>
          <w:b/>
          <w:sz w:val="24"/>
          <w:szCs w:val="24"/>
        </w:rPr>
      </w:pPr>
      <w:r w:rsidRPr="00D33A0B">
        <w:rPr>
          <w:rFonts w:ascii="Times New Roman" w:hAnsi="Times New Roman"/>
          <w:b/>
          <w:sz w:val="24"/>
          <w:szCs w:val="24"/>
        </w:rPr>
        <w:t>Odluka žirija:</w:t>
      </w:r>
    </w:p>
    <w:p w:rsidR="00BC0F47" w:rsidRPr="00D33A0B" w:rsidRDefault="00BC0F47" w:rsidP="00BC0F47">
      <w:pPr>
        <w:pStyle w:val="NoSpacing"/>
        <w:jc w:val="both"/>
        <w:rPr>
          <w:rFonts w:ascii="Times New Roman" w:hAnsi="Times New Roman"/>
          <w:sz w:val="24"/>
          <w:szCs w:val="24"/>
        </w:rPr>
      </w:pPr>
      <w:r w:rsidRPr="00D33A0B">
        <w:rPr>
          <w:rFonts w:ascii="Times New Roman" w:hAnsi="Times New Roman"/>
          <w:b/>
          <w:bCs/>
          <w:sz w:val="24"/>
          <w:szCs w:val="24"/>
          <w:lang w:val="sr-Latn-CS"/>
        </w:rPr>
        <w:t>NAGRADA ZA NAJBOLJU PREDSTAVU</w:t>
      </w:r>
      <w:r w:rsidRPr="00D33A0B">
        <w:rPr>
          <w:rFonts w:ascii="Times New Roman" w:hAnsi="Times New Roman"/>
          <w:sz w:val="24"/>
          <w:szCs w:val="24"/>
          <w:lang w:val="sr-Latn-CS"/>
        </w:rPr>
        <w:t> dodjeljuje se </w:t>
      </w:r>
      <w:r w:rsidRPr="00D33A0B">
        <w:rPr>
          <w:rFonts w:ascii="Times New Roman" w:hAnsi="Times New Roman"/>
          <w:b/>
          <w:bCs/>
          <w:i/>
          <w:iCs/>
          <w:sz w:val="24"/>
          <w:szCs w:val="24"/>
        </w:rPr>
        <w:t>Monooperi  DNEVNIK JEDNOG LUĐAKA </w:t>
      </w:r>
      <w:r w:rsidRPr="00D33A0B">
        <w:rPr>
          <w:rFonts w:ascii="Times New Roman" w:hAnsi="Times New Roman"/>
          <w:i/>
          <w:iCs/>
          <w:sz w:val="24"/>
          <w:szCs w:val="24"/>
        </w:rPr>
        <w:t>u produkciji Moving Music Theatre - Bitola, Makedonija</w:t>
      </w:r>
    </w:p>
    <w:p w:rsidR="00BC0F47" w:rsidRPr="00D33A0B" w:rsidRDefault="00BC0F47" w:rsidP="00BC0F47">
      <w:pPr>
        <w:pStyle w:val="NoSpacing"/>
        <w:jc w:val="both"/>
        <w:rPr>
          <w:rFonts w:ascii="Times New Roman" w:hAnsi="Times New Roman"/>
          <w:sz w:val="24"/>
          <w:szCs w:val="24"/>
        </w:rPr>
      </w:pPr>
      <w:r w:rsidRPr="00D33A0B">
        <w:rPr>
          <w:rFonts w:ascii="Times New Roman" w:hAnsi="Times New Roman"/>
          <w:b/>
          <w:bCs/>
          <w:sz w:val="24"/>
          <w:szCs w:val="24"/>
          <w:lang w:val="sr-Latn-CS"/>
        </w:rPr>
        <w:t>NAGRADA ZA NAJBOLJE GLUMAČKO OSTVARENJE</w:t>
      </w:r>
      <w:r w:rsidRPr="00D33A0B">
        <w:rPr>
          <w:rFonts w:ascii="Times New Roman" w:hAnsi="Times New Roman"/>
          <w:sz w:val="24"/>
          <w:szCs w:val="24"/>
          <w:lang w:val="sr-Latn-CS"/>
        </w:rPr>
        <w:t>, dodjeljuje se glumcu </w:t>
      </w:r>
      <w:r w:rsidRPr="00D33A0B">
        <w:rPr>
          <w:rFonts w:ascii="Times New Roman" w:hAnsi="Times New Roman"/>
          <w:b/>
          <w:bCs/>
          <w:sz w:val="24"/>
          <w:szCs w:val="24"/>
          <w:lang w:val="sr-Latn-CS"/>
        </w:rPr>
        <w:t>MIRKU VLAHOVIĆU </w:t>
      </w:r>
      <w:r w:rsidRPr="00D33A0B">
        <w:rPr>
          <w:rFonts w:ascii="Times New Roman" w:hAnsi="Times New Roman"/>
          <w:i/>
          <w:iCs/>
          <w:sz w:val="24"/>
          <w:szCs w:val="24"/>
          <w:lang w:val="sr-Latn-CS"/>
        </w:rPr>
        <w:t>za ulogu:  knjaza Nikole Petrovića  u pozorišnoj predstavi ŠĆERI MOJA– Crnogorskog narodnog pozorišta Podgorica – Crna Gora</w:t>
      </w:r>
    </w:p>
    <w:p w:rsidR="00BC0F47" w:rsidRPr="00D33A0B" w:rsidRDefault="00BC0F47" w:rsidP="00BC0F47">
      <w:pPr>
        <w:pStyle w:val="NoSpacing"/>
        <w:jc w:val="both"/>
        <w:rPr>
          <w:rFonts w:ascii="Times New Roman" w:hAnsi="Times New Roman"/>
          <w:sz w:val="24"/>
          <w:szCs w:val="24"/>
          <w:lang w:val="sr-Latn-CS"/>
        </w:rPr>
      </w:pPr>
      <w:r w:rsidRPr="00D33A0B">
        <w:rPr>
          <w:rFonts w:ascii="Times New Roman" w:hAnsi="Times New Roman"/>
          <w:b/>
          <w:bCs/>
          <w:sz w:val="24"/>
          <w:szCs w:val="24"/>
          <w:lang w:val="sr-Latn-CS"/>
        </w:rPr>
        <w:t>NAGRADA ZA GLUMAČKU BRAVURU</w:t>
      </w:r>
      <w:r w:rsidRPr="00D33A0B">
        <w:rPr>
          <w:rFonts w:ascii="Times New Roman" w:hAnsi="Times New Roman"/>
          <w:sz w:val="24"/>
          <w:szCs w:val="24"/>
          <w:lang w:val="sr-Latn-CS"/>
        </w:rPr>
        <w:t> dodjeljuje se glumcu </w:t>
      </w:r>
      <w:r w:rsidRPr="00D33A0B">
        <w:rPr>
          <w:rFonts w:ascii="Times New Roman" w:hAnsi="Times New Roman"/>
          <w:b/>
          <w:bCs/>
          <w:sz w:val="24"/>
          <w:szCs w:val="24"/>
          <w:lang w:val="sr-Latn-CS"/>
        </w:rPr>
        <w:t>RAKAN RUSHAIDAT </w:t>
      </w:r>
      <w:r w:rsidRPr="00D33A0B">
        <w:rPr>
          <w:rFonts w:ascii="Times New Roman" w:hAnsi="Times New Roman"/>
          <w:i/>
          <w:iCs/>
          <w:sz w:val="24"/>
          <w:szCs w:val="24"/>
          <w:lang w:val="sr-Latn-CS"/>
        </w:rPr>
        <w:t>za ulogu oca  u pozorišnoj predstavi MRZIM ISTINU– Teatar &amp; TD, Zagreb – Hrvatska</w:t>
      </w:r>
    </w:p>
    <w:p w:rsidR="00BC0F47" w:rsidRPr="00D33A0B" w:rsidRDefault="00BC0F47" w:rsidP="00BC0F47">
      <w:pPr>
        <w:pStyle w:val="NoSpacing"/>
        <w:jc w:val="both"/>
        <w:rPr>
          <w:rFonts w:ascii="Times New Roman" w:hAnsi="Times New Roman"/>
          <w:sz w:val="24"/>
          <w:szCs w:val="24"/>
          <w:lang w:val="sr-Latn-CS"/>
        </w:rPr>
      </w:pPr>
      <w:r w:rsidRPr="00D33A0B">
        <w:rPr>
          <w:rFonts w:ascii="Times New Roman" w:hAnsi="Times New Roman"/>
          <w:b/>
          <w:bCs/>
          <w:sz w:val="24"/>
          <w:szCs w:val="24"/>
          <w:lang w:val="sr-Latn-CS"/>
        </w:rPr>
        <w:t>SPECIJALNA NAGRADA</w:t>
      </w:r>
      <w:r w:rsidRPr="00D33A0B">
        <w:rPr>
          <w:rFonts w:ascii="Times New Roman" w:hAnsi="Times New Roman"/>
          <w:sz w:val="24"/>
          <w:szCs w:val="24"/>
          <w:lang w:val="sr-Latn-CS"/>
        </w:rPr>
        <w:t> za umjetničko dostignuće dodjeljuje se </w:t>
      </w:r>
      <w:r w:rsidRPr="00D33A0B">
        <w:rPr>
          <w:rFonts w:ascii="Times New Roman" w:hAnsi="Times New Roman"/>
          <w:b/>
          <w:bCs/>
          <w:sz w:val="24"/>
          <w:szCs w:val="24"/>
          <w:lang w:val="sr-Latn-CS"/>
        </w:rPr>
        <w:t>pozorišnoj predstavi PTICE</w:t>
      </w:r>
      <w:r w:rsidRPr="00D33A0B">
        <w:rPr>
          <w:rFonts w:ascii="Times New Roman" w:hAnsi="Times New Roman"/>
          <w:sz w:val="24"/>
          <w:szCs w:val="24"/>
          <w:lang w:val="sr-Latn-CS"/>
        </w:rPr>
        <w:t> </w:t>
      </w:r>
      <w:r w:rsidRPr="00D33A0B">
        <w:rPr>
          <w:rFonts w:ascii="Times New Roman" w:hAnsi="Times New Roman"/>
          <w:i/>
          <w:iCs/>
          <w:sz w:val="24"/>
          <w:szCs w:val="24"/>
          <w:lang w:val="sr-Latn-CS"/>
        </w:rPr>
        <w:t>u produkciji Bitef  teatra iz Beograda, Srbija</w:t>
      </w:r>
    </w:p>
    <w:p w:rsidR="00BC0F47" w:rsidRPr="00D33A0B" w:rsidRDefault="00BC0F47" w:rsidP="00BC0F47">
      <w:pPr>
        <w:pStyle w:val="NoSpacing"/>
        <w:jc w:val="both"/>
        <w:rPr>
          <w:rFonts w:ascii="Times New Roman" w:hAnsi="Times New Roman"/>
          <w:sz w:val="24"/>
          <w:szCs w:val="24"/>
          <w:lang w:val="sr-Latn-CS"/>
        </w:rPr>
      </w:pPr>
      <w:r w:rsidRPr="00D33A0B">
        <w:rPr>
          <w:rFonts w:ascii="Times New Roman" w:hAnsi="Times New Roman"/>
          <w:i/>
          <w:iCs/>
          <w:sz w:val="24"/>
          <w:szCs w:val="24"/>
          <w:lang w:val="sr-Latn-CS"/>
        </w:rPr>
        <w:t> </w:t>
      </w:r>
      <w:r w:rsidRPr="00D33A0B">
        <w:rPr>
          <w:rFonts w:ascii="Times New Roman" w:hAnsi="Times New Roman"/>
          <w:sz w:val="24"/>
          <w:szCs w:val="24"/>
          <w:shd w:val="clear" w:color="auto" w:fill="FFFFFF"/>
          <w:lang w:val="sr-Latn-CS"/>
        </w:rPr>
        <w:t>Pozorišna nagrada </w:t>
      </w:r>
      <w:r w:rsidRPr="00D33A0B">
        <w:rPr>
          <w:rFonts w:ascii="Times New Roman" w:hAnsi="Times New Roman"/>
          <w:sz w:val="24"/>
          <w:szCs w:val="24"/>
          <w:lang w:val="sr-Latn-CS"/>
        </w:rPr>
        <w:t> </w:t>
      </w:r>
      <w:r w:rsidRPr="00D33A0B">
        <w:rPr>
          <w:rFonts w:ascii="Times New Roman" w:hAnsi="Times New Roman"/>
          <w:sz w:val="24"/>
          <w:szCs w:val="24"/>
          <w:shd w:val="clear" w:color="auto" w:fill="FFFFFF"/>
          <w:lang w:val="sr-Latn-CS"/>
        </w:rPr>
        <w:t>«Ivana Tomičić» koju dodjeljuje Centar za Kulturu Tivat, za 2016. godinu dobio je BRANKO ILIĆ, glumac, za izuzetan doprinos u razvoju pozorišnog izraza.</w:t>
      </w:r>
    </w:p>
    <w:p w:rsidR="00E5449B" w:rsidRPr="00D33A0B" w:rsidRDefault="00E5449B" w:rsidP="00E5449B">
      <w:pPr>
        <w:jc w:val="both"/>
        <w:rPr>
          <w:sz w:val="28"/>
          <w:szCs w:val="28"/>
          <w:lang w:val="sr-Latn-CS"/>
        </w:rPr>
      </w:pPr>
    </w:p>
    <w:p w:rsidR="00E5449B" w:rsidRPr="00D33A0B" w:rsidRDefault="00E5449B" w:rsidP="00E5449B">
      <w:pPr>
        <w:jc w:val="both"/>
        <w:rPr>
          <w:sz w:val="28"/>
          <w:szCs w:val="28"/>
          <w:u w:val="single"/>
          <w:lang w:val="pl-PL"/>
        </w:rPr>
      </w:pPr>
      <w:r w:rsidRPr="00D33A0B">
        <w:rPr>
          <w:b/>
          <w:sz w:val="28"/>
          <w:szCs w:val="28"/>
          <w:u w:val="single"/>
          <w:lang w:val="pl-PL"/>
        </w:rPr>
        <w:t>RADIO TIVAT</w:t>
      </w:r>
      <w:r w:rsidRPr="00D33A0B">
        <w:rPr>
          <w:sz w:val="28"/>
          <w:szCs w:val="28"/>
          <w:u w:val="single"/>
          <w:lang w:val="pl-PL"/>
        </w:rPr>
        <w:t xml:space="preserve"> </w:t>
      </w:r>
    </w:p>
    <w:p w:rsidR="00E5449B" w:rsidRPr="00D33A0B" w:rsidRDefault="00E5449B" w:rsidP="00E5449B">
      <w:pPr>
        <w:jc w:val="both"/>
        <w:rPr>
          <w:rStyle w:val="Emphasis"/>
          <w:i w:val="0"/>
        </w:rPr>
      </w:pPr>
    </w:p>
    <w:p w:rsidR="00066354" w:rsidRPr="00D33A0B" w:rsidRDefault="00066354" w:rsidP="00066354">
      <w:pPr>
        <w:pStyle w:val="NoSpacing"/>
        <w:jc w:val="both"/>
        <w:rPr>
          <w:rFonts w:ascii="Times New Roman" w:hAnsi="Times New Roman"/>
          <w:sz w:val="24"/>
          <w:szCs w:val="24"/>
          <w:lang w:val="sr-Latn-CS"/>
        </w:rPr>
      </w:pPr>
      <w:r w:rsidRPr="00D33A0B">
        <w:rPr>
          <w:rFonts w:ascii="Times New Roman" w:hAnsi="Times New Roman"/>
          <w:sz w:val="24"/>
          <w:szCs w:val="24"/>
          <w:lang w:val="sr-Latn-CS"/>
        </w:rPr>
        <w:t>Radio Tivat je program po ljetnjoj šemi emitovao od 20. juna do 5. septembra. Velika pažnja posvećena je temama iz turizma i ukupnoj turističkoj ponudi Tivta.</w:t>
      </w:r>
    </w:p>
    <w:p w:rsidR="00066354" w:rsidRPr="00D33A0B" w:rsidRDefault="00066354" w:rsidP="00066354">
      <w:pPr>
        <w:pStyle w:val="NoSpacing"/>
        <w:jc w:val="both"/>
        <w:rPr>
          <w:rFonts w:ascii="Times New Roman" w:hAnsi="Times New Roman"/>
          <w:sz w:val="24"/>
          <w:szCs w:val="24"/>
        </w:rPr>
      </w:pPr>
      <w:r w:rsidRPr="00D33A0B">
        <w:rPr>
          <w:rFonts w:ascii="Times New Roman" w:hAnsi="Times New Roman"/>
          <w:sz w:val="24"/>
          <w:szCs w:val="24"/>
          <w:lang w:val="sr-Latn-CS"/>
        </w:rPr>
        <w:t>Najviše tema iz turizma emitovano je u specijalnim emisijama „Radio suncobran“ uživo sa terase hotela „Palma“, svakog radnog dana od 10-12 sati  i „Vrelina dana“ radnim danima od 16-19 sati, vikendom od 13-15 sati. Takođe, festival Purgatorije je ispraćen sa specijalnim Hronikama Purgatorija. Ukupno je emitovano 60 emisija koje su i reprizirane.</w:t>
      </w:r>
    </w:p>
    <w:p w:rsidR="00066354" w:rsidRPr="00D33A0B" w:rsidRDefault="00066354" w:rsidP="00066354">
      <w:pPr>
        <w:pStyle w:val="NoSpacing"/>
        <w:jc w:val="both"/>
        <w:rPr>
          <w:rFonts w:ascii="Times New Roman" w:hAnsi="Times New Roman"/>
          <w:sz w:val="24"/>
          <w:szCs w:val="24"/>
          <w:lang w:val="sr-Latn-CS"/>
        </w:rPr>
      </w:pPr>
      <w:r w:rsidRPr="00D33A0B">
        <w:rPr>
          <w:rFonts w:ascii="Times New Roman" w:hAnsi="Times New Roman"/>
          <w:sz w:val="24"/>
          <w:szCs w:val="24"/>
          <w:lang w:val="sr-Latn-CS"/>
        </w:rPr>
        <w:t>Osim toga u svakodnevnom programu prioritet su bile teme iz turizma, intervjui sa turistima i turističkim radnicima, ankete, najave događaja i izvještaji sa tih događaja. Najznačajnije informacije iz turizma objavljene su i na sajtu Radio Tivat koji je u prosjeku ljetos imao, dnevno, oko dvije hiljade posjetilaca.</w:t>
      </w:r>
    </w:p>
    <w:p w:rsidR="00E5449B" w:rsidRPr="00D33A0B" w:rsidRDefault="00066354" w:rsidP="00066354">
      <w:pPr>
        <w:jc w:val="both"/>
        <w:rPr>
          <w:rStyle w:val="Emphasis"/>
          <w:i w:val="0"/>
          <w:lang w:val="sr-Latn-CS"/>
        </w:rPr>
      </w:pPr>
      <w:r w:rsidRPr="00D33A0B">
        <w:rPr>
          <w:lang w:val="sr-Latn-CS"/>
        </w:rPr>
        <w:t>Kompletna novinarsko tehnička ekipa uložila je veliki trud da program i sajt budu zanimljivi, raznovrsni, sadržajni i edukativni.</w:t>
      </w:r>
    </w:p>
    <w:p w:rsidR="00E5449B" w:rsidRPr="00D33A0B" w:rsidRDefault="00E5449B" w:rsidP="00E5449B">
      <w:pPr>
        <w:jc w:val="both"/>
        <w:rPr>
          <w:rStyle w:val="Emphasis"/>
          <w:i w:val="0"/>
          <w:lang w:val="sr-Latn-CS"/>
        </w:rPr>
      </w:pPr>
    </w:p>
    <w:p w:rsidR="00E5449B" w:rsidRPr="00D33A0B" w:rsidRDefault="00E5449B" w:rsidP="00E5449B">
      <w:pPr>
        <w:jc w:val="both"/>
        <w:rPr>
          <w:sz w:val="28"/>
          <w:szCs w:val="28"/>
          <w:u w:val="single"/>
          <w:lang w:val="sr-Latn-CS"/>
        </w:rPr>
      </w:pPr>
      <w:r w:rsidRPr="00D33A0B">
        <w:rPr>
          <w:b/>
          <w:sz w:val="28"/>
          <w:szCs w:val="28"/>
          <w:u w:val="single"/>
          <w:lang w:val="sr-Latn-CS"/>
        </w:rPr>
        <w:t>SLUŽBA ZAŠTITE TIVAT</w:t>
      </w:r>
    </w:p>
    <w:p w:rsidR="00E5449B" w:rsidRPr="00D33A0B" w:rsidRDefault="00E5449B" w:rsidP="00E5449B">
      <w:pPr>
        <w:jc w:val="both"/>
        <w:rPr>
          <w:lang w:val="sr-Latn-CS"/>
        </w:rPr>
      </w:pPr>
    </w:p>
    <w:p w:rsidR="004549A7" w:rsidRPr="00D33A0B" w:rsidRDefault="004549A7" w:rsidP="004549A7">
      <w:pPr>
        <w:jc w:val="both"/>
      </w:pPr>
      <w:r w:rsidRPr="00D33A0B">
        <w:t>Osnovni i prioritetni zadatak ove službe je zaštita od požara i ostalih akcidenata. To obavljamo preventivnim i represivnim metodama(gašenjem), pored ovih zadataka Služba zaštite i spašavanja Tivat je bila prisutna na svim kulturnim dešavanjima u gradu.</w:t>
      </w:r>
    </w:p>
    <w:p w:rsidR="004549A7" w:rsidRPr="00D33A0B" w:rsidRDefault="004549A7" w:rsidP="004549A7">
      <w:pPr>
        <w:jc w:val="both"/>
      </w:pPr>
      <w:r w:rsidRPr="00D33A0B">
        <w:t xml:space="preserve">Naš skromni doprinos turističkoj sezoni se ogledao u poboljšanju čistoće naših ulica tako da je SZS Tivat u više navrata prala ulice i trotoare u gradu i za to utrošila preko 200000 lt. vode. Što se tiče intervencija iz oblasti zaštite i spašavanja možemo reći da požara na otvorenom je bilo dosta manje nego ranijih godina ali je bio povećen broj drugih intervencija i to: </w:t>
      </w:r>
    </w:p>
    <w:p w:rsidR="004549A7" w:rsidRPr="00D33A0B" w:rsidRDefault="004549A7" w:rsidP="004549A7">
      <w:pPr>
        <w:jc w:val="both"/>
      </w:pPr>
    </w:p>
    <w:p w:rsidR="004549A7" w:rsidRPr="00D33A0B" w:rsidRDefault="004549A7" w:rsidP="004549A7">
      <w:pPr>
        <w:jc w:val="both"/>
      </w:pPr>
      <w:r w:rsidRPr="00D33A0B">
        <w:t>Jun 2016:</w:t>
      </w:r>
    </w:p>
    <w:p w:rsidR="004549A7" w:rsidRPr="00D33A0B" w:rsidRDefault="004549A7" w:rsidP="004549A7">
      <w:pPr>
        <w:pStyle w:val="ListParagraph"/>
        <w:numPr>
          <w:ilvl w:val="0"/>
          <w:numId w:val="19"/>
        </w:numPr>
        <w:spacing w:line="276" w:lineRule="auto"/>
        <w:contextualSpacing/>
        <w:jc w:val="both"/>
        <w:rPr>
          <w:rFonts w:ascii="Times New Roman" w:hAnsi="Times New Roman"/>
          <w:sz w:val="24"/>
          <w:szCs w:val="24"/>
        </w:rPr>
      </w:pPr>
      <w:r w:rsidRPr="00D33A0B">
        <w:rPr>
          <w:rFonts w:ascii="Times New Roman" w:hAnsi="Times New Roman"/>
          <w:sz w:val="24"/>
          <w:szCs w:val="24"/>
        </w:rPr>
        <w:t>Poplave, 4 intervencije (13/14.06.2016)</w:t>
      </w:r>
    </w:p>
    <w:p w:rsidR="004549A7" w:rsidRPr="00D33A0B" w:rsidRDefault="004549A7" w:rsidP="004549A7">
      <w:pPr>
        <w:pStyle w:val="ListParagraph"/>
        <w:numPr>
          <w:ilvl w:val="0"/>
          <w:numId w:val="19"/>
        </w:numPr>
        <w:spacing w:line="276" w:lineRule="auto"/>
        <w:contextualSpacing/>
        <w:jc w:val="both"/>
        <w:rPr>
          <w:rFonts w:ascii="Times New Roman" w:hAnsi="Times New Roman"/>
          <w:sz w:val="24"/>
          <w:szCs w:val="24"/>
        </w:rPr>
      </w:pPr>
      <w:r w:rsidRPr="00D33A0B">
        <w:rPr>
          <w:rFonts w:ascii="Times New Roman" w:hAnsi="Times New Roman"/>
          <w:sz w:val="24"/>
          <w:szCs w:val="24"/>
        </w:rPr>
        <w:t>Požari na objektima, 5 intervencija</w:t>
      </w:r>
    </w:p>
    <w:p w:rsidR="004549A7" w:rsidRPr="00D33A0B" w:rsidRDefault="004549A7" w:rsidP="004549A7">
      <w:pPr>
        <w:pStyle w:val="ListParagraph"/>
        <w:numPr>
          <w:ilvl w:val="0"/>
          <w:numId w:val="19"/>
        </w:numPr>
        <w:spacing w:line="276" w:lineRule="auto"/>
        <w:contextualSpacing/>
        <w:jc w:val="both"/>
        <w:rPr>
          <w:rFonts w:ascii="Times New Roman" w:hAnsi="Times New Roman"/>
          <w:sz w:val="24"/>
          <w:szCs w:val="24"/>
        </w:rPr>
      </w:pPr>
      <w:r w:rsidRPr="00D33A0B">
        <w:rPr>
          <w:rFonts w:ascii="Times New Roman" w:hAnsi="Times New Roman"/>
          <w:sz w:val="24"/>
          <w:szCs w:val="24"/>
        </w:rPr>
        <w:t>Pretraga terena i akcije spašavanja naše sugrađanke (25.06.2016)</w:t>
      </w:r>
    </w:p>
    <w:p w:rsidR="004549A7" w:rsidRPr="00D33A0B" w:rsidRDefault="004549A7" w:rsidP="004549A7">
      <w:pPr>
        <w:jc w:val="both"/>
      </w:pPr>
      <w:r w:rsidRPr="00D33A0B">
        <w:t>Jul 2016:</w:t>
      </w:r>
    </w:p>
    <w:p w:rsidR="004549A7" w:rsidRPr="00D33A0B" w:rsidRDefault="004549A7" w:rsidP="004549A7">
      <w:pPr>
        <w:pStyle w:val="ListParagraph"/>
        <w:numPr>
          <w:ilvl w:val="0"/>
          <w:numId w:val="19"/>
        </w:numPr>
        <w:spacing w:line="276" w:lineRule="auto"/>
        <w:contextualSpacing/>
        <w:jc w:val="both"/>
        <w:rPr>
          <w:rFonts w:ascii="Times New Roman" w:hAnsi="Times New Roman"/>
          <w:sz w:val="24"/>
          <w:szCs w:val="24"/>
        </w:rPr>
      </w:pPr>
      <w:r w:rsidRPr="00D33A0B">
        <w:rPr>
          <w:rFonts w:ascii="Times New Roman" w:hAnsi="Times New Roman"/>
          <w:sz w:val="24"/>
          <w:szCs w:val="24"/>
        </w:rPr>
        <w:t>Ukupno 13 intervencija na objektima od čega 1 veća (22.07.2016 požar na objektu „Aroma“ u centru grada)</w:t>
      </w:r>
    </w:p>
    <w:p w:rsidR="004549A7" w:rsidRPr="00D33A0B" w:rsidRDefault="004549A7" w:rsidP="004549A7">
      <w:pPr>
        <w:jc w:val="both"/>
      </w:pPr>
      <w:r w:rsidRPr="00D33A0B">
        <w:t>Avgust 2016:</w:t>
      </w:r>
    </w:p>
    <w:p w:rsidR="004549A7" w:rsidRPr="00D33A0B" w:rsidRDefault="004549A7" w:rsidP="004549A7">
      <w:pPr>
        <w:pStyle w:val="ListParagraph"/>
        <w:numPr>
          <w:ilvl w:val="0"/>
          <w:numId w:val="19"/>
        </w:numPr>
        <w:spacing w:line="276" w:lineRule="auto"/>
        <w:contextualSpacing/>
        <w:jc w:val="both"/>
        <w:rPr>
          <w:rFonts w:ascii="Times New Roman" w:hAnsi="Times New Roman"/>
          <w:sz w:val="24"/>
          <w:szCs w:val="24"/>
        </w:rPr>
      </w:pPr>
      <w:r w:rsidRPr="00D33A0B">
        <w:rPr>
          <w:rFonts w:ascii="Times New Roman" w:hAnsi="Times New Roman"/>
          <w:sz w:val="24"/>
          <w:szCs w:val="24"/>
        </w:rPr>
        <w:t>Pretraga terena za nestalim turistom – francuski državljanin, 5 dana.</w:t>
      </w:r>
    </w:p>
    <w:p w:rsidR="004549A7" w:rsidRPr="00D33A0B" w:rsidRDefault="004549A7" w:rsidP="004549A7">
      <w:pPr>
        <w:pStyle w:val="ListParagraph"/>
        <w:numPr>
          <w:ilvl w:val="0"/>
          <w:numId w:val="19"/>
        </w:numPr>
        <w:spacing w:line="276" w:lineRule="auto"/>
        <w:contextualSpacing/>
        <w:jc w:val="both"/>
        <w:rPr>
          <w:rFonts w:ascii="Times New Roman" w:hAnsi="Times New Roman"/>
          <w:sz w:val="24"/>
          <w:szCs w:val="24"/>
        </w:rPr>
      </w:pPr>
      <w:r w:rsidRPr="00D33A0B">
        <w:rPr>
          <w:rFonts w:ascii="Times New Roman" w:hAnsi="Times New Roman"/>
          <w:sz w:val="24"/>
          <w:szCs w:val="24"/>
        </w:rPr>
        <w:lastRenderedPageBreak/>
        <w:t>Požari na otvorenom, 3 intervencije (od čega jedna, ispomoć kolegama u Ulcinju)</w:t>
      </w:r>
    </w:p>
    <w:p w:rsidR="00E5449B" w:rsidRPr="00D33A0B" w:rsidRDefault="004549A7" w:rsidP="00E5449B">
      <w:pPr>
        <w:pStyle w:val="ListParagraph"/>
        <w:numPr>
          <w:ilvl w:val="0"/>
          <w:numId w:val="19"/>
        </w:numPr>
        <w:spacing w:line="276" w:lineRule="auto"/>
        <w:contextualSpacing/>
        <w:jc w:val="both"/>
        <w:rPr>
          <w:rFonts w:ascii="Times New Roman" w:hAnsi="Times New Roman"/>
          <w:sz w:val="24"/>
          <w:szCs w:val="24"/>
        </w:rPr>
      </w:pPr>
      <w:r w:rsidRPr="00D33A0B">
        <w:rPr>
          <w:rFonts w:ascii="Times New Roman" w:hAnsi="Times New Roman"/>
          <w:sz w:val="24"/>
          <w:szCs w:val="24"/>
        </w:rPr>
        <w:t>Požari na objektima, 4 intervencije.</w:t>
      </w:r>
    </w:p>
    <w:p w:rsidR="007E6C18" w:rsidRPr="00D33A0B" w:rsidRDefault="007E6C18" w:rsidP="00E5449B">
      <w:pPr>
        <w:pStyle w:val="ListParagraph"/>
        <w:numPr>
          <w:ilvl w:val="0"/>
          <w:numId w:val="19"/>
        </w:numPr>
        <w:spacing w:line="276" w:lineRule="auto"/>
        <w:contextualSpacing/>
        <w:jc w:val="both"/>
        <w:rPr>
          <w:rFonts w:ascii="Times New Roman" w:hAnsi="Times New Roman"/>
          <w:sz w:val="24"/>
          <w:szCs w:val="24"/>
        </w:rPr>
      </w:pPr>
    </w:p>
    <w:p w:rsidR="00E5449B" w:rsidRPr="00D33A0B" w:rsidRDefault="00E5449B" w:rsidP="00E5449B">
      <w:pPr>
        <w:jc w:val="both"/>
        <w:rPr>
          <w:sz w:val="28"/>
          <w:szCs w:val="28"/>
          <w:u w:val="single"/>
          <w:lang w:val="sr-Latn-CS"/>
        </w:rPr>
      </w:pPr>
      <w:r w:rsidRPr="00D33A0B">
        <w:rPr>
          <w:b/>
          <w:sz w:val="28"/>
          <w:szCs w:val="28"/>
          <w:u w:val="single"/>
          <w:lang w:val="sr-Latn-CS"/>
        </w:rPr>
        <w:t>JP ZA UPRAVLJANJE MORSKIM DOBROM</w:t>
      </w:r>
      <w:r w:rsidRPr="00D33A0B">
        <w:rPr>
          <w:sz w:val="28"/>
          <w:szCs w:val="28"/>
          <w:u w:val="single"/>
          <w:lang w:val="sr-Latn-CS"/>
        </w:rPr>
        <w:t xml:space="preserve"> </w:t>
      </w:r>
      <w:r w:rsidRPr="00D33A0B">
        <w:rPr>
          <w:b/>
          <w:sz w:val="28"/>
          <w:szCs w:val="28"/>
          <w:u w:val="single"/>
          <w:lang w:val="sr-Latn-CS"/>
        </w:rPr>
        <w:t>CRNE GORE</w:t>
      </w:r>
    </w:p>
    <w:p w:rsidR="00E5449B" w:rsidRPr="00D33A0B" w:rsidRDefault="00E5449B" w:rsidP="00E5449B">
      <w:pPr>
        <w:jc w:val="both"/>
        <w:rPr>
          <w:sz w:val="28"/>
          <w:szCs w:val="28"/>
          <w:lang w:val="sl-SI"/>
        </w:rPr>
      </w:pPr>
    </w:p>
    <w:p w:rsidR="00E5449B" w:rsidRPr="00D33A0B" w:rsidRDefault="00E5449B" w:rsidP="00E5449B">
      <w:pPr>
        <w:jc w:val="both"/>
        <w:rPr>
          <w:lang w:val="sr-Latn-CS"/>
        </w:rPr>
      </w:pPr>
      <w:r w:rsidRPr="00D33A0B">
        <w:rPr>
          <w:lang w:val="sr-Latn-CS"/>
        </w:rPr>
        <w:t xml:space="preserve">Prema podacima </w:t>
      </w:r>
      <w:r w:rsidRPr="00D33A0B">
        <w:rPr>
          <w:b/>
          <w:lang w:val="sr-Latn-CS"/>
        </w:rPr>
        <w:t>JP za upravljanje Morskim dobrom</w:t>
      </w:r>
      <w:r w:rsidRPr="00D33A0B">
        <w:rPr>
          <w:lang w:val="sr-Latn-CS"/>
        </w:rPr>
        <w:t xml:space="preserve"> </w:t>
      </w:r>
      <w:r w:rsidRPr="00D33A0B">
        <w:rPr>
          <w:b/>
          <w:lang w:val="sr-Latn-CS"/>
        </w:rPr>
        <w:t>Crne Gore</w:t>
      </w:r>
      <w:r w:rsidRPr="00D33A0B">
        <w:rPr>
          <w:lang w:val="sr-Latn-CS"/>
        </w:rPr>
        <w:t xml:space="preserve">, u Tivtu je ovog ljeta </w:t>
      </w:r>
      <w:r w:rsidR="00D9148A" w:rsidRPr="00D33A0B">
        <w:rPr>
          <w:lang w:val="sr-Latn-CS"/>
        </w:rPr>
        <w:t>zaključeno 23 Ugovora o ustupanju kupališta na korišćenje i to:</w:t>
      </w:r>
    </w:p>
    <w:p w:rsidR="00E5449B" w:rsidRPr="00D33A0B" w:rsidRDefault="00E5449B" w:rsidP="00E5449B">
      <w:pPr>
        <w:jc w:val="both"/>
        <w:rPr>
          <w:lang w:val="sr-Latn-CS"/>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2442"/>
        <w:gridCol w:w="1180"/>
        <w:gridCol w:w="5715"/>
      </w:tblGrid>
      <w:tr w:rsidR="00D9148A" w:rsidRPr="00D33A0B" w:rsidTr="001401F6">
        <w:tc>
          <w:tcPr>
            <w:tcW w:w="881" w:type="dxa"/>
          </w:tcPr>
          <w:p w:rsidR="00D9148A" w:rsidRPr="00D33A0B" w:rsidRDefault="00D9148A" w:rsidP="004D1F76">
            <w:pPr>
              <w:jc w:val="both"/>
              <w:rPr>
                <w:lang w:val="sr-Latn-CS"/>
              </w:rPr>
            </w:pPr>
            <w:r w:rsidRPr="00D33A0B">
              <w:rPr>
                <w:lang w:val="sr-Latn-CS"/>
              </w:rPr>
              <w:t>R.br.</w:t>
            </w:r>
          </w:p>
        </w:tc>
        <w:tc>
          <w:tcPr>
            <w:tcW w:w="2442" w:type="dxa"/>
          </w:tcPr>
          <w:p w:rsidR="00D9148A" w:rsidRPr="00D33A0B" w:rsidRDefault="00D9148A" w:rsidP="004D1F76">
            <w:pPr>
              <w:jc w:val="both"/>
              <w:rPr>
                <w:lang w:val="sr-Latn-CS"/>
              </w:rPr>
            </w:pPr>
            <w:r w:rsidRPr="00D33A0B">
              <w:rPr>
                <w:lang w:val="sr-Latn-CS"/>
              </w:rPr>
              <w:t>Naziv kupališta</w:t>
            </w:r>
          </w:p>
        </w:tc>
        <w:tc>
          <w:tcPr>
            <w:tcW w:w="1180" w:type="dxa"/>
          </w:tcPr>
          <w:p w:rsidR="00D9148A" w:rsidRPr="00D33A0B" w:rsidRDefault="00D9148A" w:rsidP="004D1F76">
            <w:pPr>
              <w:jc w:val="both"/>
              <w:rPr>
                <w:lang w:val="sr-Latn-CS"/>
              </w:rPr>
            </w:pPr>
            <w:r w:rsidRPr="00D33A0B">
              <w:rPr>
                <w:lang w:val="sr-Latn-CS"/>
              </w:rPr>
              <w:t>Broj lokacije</w:t>
            </w:r>
          </w:p>
        </w:tc>
        <w:tc>
          <w:tcPr>
            <w:tcW w:w="5715" w:type="dxa"/>
          </w:tcPr>
          <w:p w:rsidR="00D9148A" w:rsidRPr="00D33A0B" w:rsidRDefault="00D9148A" w:rsidP="004D1F76">
            <w:pPr>
              <w:jc w:val="both"/>
              <w:rPr>
                <w:lang w:val="sr-Latn-CS"/>
              </w:rPr>
            </w:pPr>
            <w:r w:rsidRPr="00D33A0B">
              <w:rPr>
                <w:lang w:val="sr-Latn-CS"/>
              </w:rPr>
              <w:t>Naziv korisnika</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D9148A" w:rsidP="00D9148A">
            <w:pPr>
              <w:jc w:val="both"/>
              <w:rPr>
                <w:lang w:val="sr-Latn-CS"/>
              </w:rPr>
            </w:pPr>
            <w:r w:rsidRPr="00D33A0B">
              <w:rPr>
                <w:lang w:val="sr-Latn-CS"/>
              </w:rPr>
              <w:t xml:space="preserve">Opatovo </w:t>
            </w:r>
          </w:p>
        </w:tc>
        <w:tc>
          <w:tcPr>
            <w:tcW w:w="1180" w:type="dxa"/>
          </w:tcPr>
          <w:p w:rsidR="00D9148A" w:rsidRPr="00D33A0B" w:rsidRDefault="00D9148A" w:rsidP="004D1F76">
            <w:pPr>
              <w:jc w:val="both"/>
              <w:rPr>
                <w:lang w:val="sr-Latn-CS"/>
              </w:rPr>
            </w:pPr>
            <w:r w:rsidRPr="00D33A0B">
              <w:rPr>
                <w:lang w:val="sr-Latn-CS"/>
              </w:rPr>
              <w:t>3B</w:t>
            </w:r>
          </w:p>
        </w:tc>
        <w:tc>
          <w:tcPr>
            <w:tcW w:w="5715" w:type="dxa"/>
          </w:tcPr>
          <w:p w:rsidR="00D9148A" w:rsidRPr="00D33A0B" w:rsidRDefault="00D9148A" w:rsidP="004D1F76">
            <w:pPr>
              <w:jc w:val="both"/>
              <w:rPr>
                <w:lang w:val="sr-Latn-CS"/>
              </w:rPr>
            </w:pPr>
            <w:r w:rsidRPr="00D33A0B">
              <w:rPr>
                <w:lang w:val="sr-Latn-CS"/>
              </w:rPr>
              <w:t>Five Star Montenegro d.o.o.</w:t>
            </w:r>
            <w:r w:rsidR="009C0EFC" w:rsidRPr="00D33A0B">
              <w:rPr>
                <w:lang w:val="sr-Latn-CS"/>
              </w:rPr>
              <w:t>,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D9148A" w:rsidP="00D9148A">
            <w:pPr>
              <w:jc w:val="both"/>
              <w:rPr>
                <w:lang w:val="sr-Latn-CS"/>
              </w:rPr>
            </w:pPr>
            <w:r w:rsidRPr="00D33A0B">
              <w:rPr>
                <w:lang w:val="sr-Latn-CS"/>
              </w:rPr>
              <w:t xml:space="preserve">Opatovo </w:t>
            </w:r>
          </w:p>
        </w:tc>
        <w:tc>
          <w:tcPr>
            <w:tcW w:w="1180" w:type="dxa"/>
          </w:tcPr>
          <w:p w:rsidR="00D9148A" w:rsidRPr="00D33A0B" w:rsidRDefault="00D9148A" w:rsidP="009C0EFC">
            <w:pPr>
              <w:jc w:val="both"/>
              <w:rPr>
                <w:lang w:val="sr-Latn-CS"/>
              </w:rPr>
            </w:pPr>
            <w:r w:rsidRPr="00D33A0B">
              <w:rPr>
                <w:lang w:val="sr-Latn-CS"/>
              </w:rPr>
              <w:t>3C</w:t>
            </w:r>
          </w:p>
        </w:tc>
        <w:tc>
          <w:tcPr>
            <w:tcW w:w="5715" w:type="dxa"/>
          </w:tcPr>
          <w:p w:rsidR="00D9148A" w:rsidRPr="00D33A0B" w:rsidRDefault="00D9148A" w:rsidP="009C0EFC">
            <w:pPr>
              <w:jc w:val="both"/>
              <w:rPr>
                <w:lang w:val="sr-Latn-CS"/>
              </w:rPr>
            </w:pPr>
            <w:r w:rsidRPr="00D33A0B">
              <w:rPr>
                <w:lang w:val="sr-Latn-CS"/>
              </w:rPr>
              <w:t>Five Star Montenegro d.o.o.</w:t>
            </w:r>
            <w:r w:rsidR="009C0EFC" w:rsidRPr="00D33A0B">
              <w:rPr>
                <w:lang w:val="sr-Latn-CS"/>
              </w:rPr>
              <w:t>,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D9148A" w:rsidP="004D1F76">
            <w:pPr>
              <w:jc w:val="both"/>
              <w:rPr>
                <w:lang w:val="sr-Latn-CS"/>
              </w:rPr>
            </w:pPr>
            <w:r w:rsidRPr="00D33A0B">
              <w:rPr>
                <w:lang w:val="sr-Latn-CS"/>
              </w:rPr>
              <w:t>Donja Lastva</w:t>
            </w:r>
          </w:p>
        </w:tc>
        <w:tc>
          <w:tcPr>
            <w:tcW w:w="1180" w:type="dxa"/>
          </w:tcPr>
          <w:p w:rsidR="00D9148A" w:rsidRPr="00D33A0B" w:rsidRDefault="00D9148A" w:rsidP="004D1F76">
            <w:pPr>
              <w:jc w:val="both"/>
              <w:rPr>
                <w:lang w:val="sr-Latn-CS"/>
              </w:rPr>
            </w:pPr>
            <w:r w:rsidRPr="00D33A0B">
              <w:rPr>
                <w:lang w:val="sr-Latn-CS"/>
              </w:rPr>
              <w:t>4B</w:t>
            </w:r>
          </w:p>
        </w:tc>
        <w:tc>
          <w:tcPr>
            <w:tcW w:w="5715" w:type="dxa"/>
          </w:tcPr>
          <w:p w:rsidR="00D9148A" w:rsidRPr="00D33A0B" w:rsidRDefault="00D9148A" w:rsidP="004D1F76">
            <w:pPr>
              <w:jc w:val="both"/>
              <w:rPr>
                <w:lang w:val="sr-Latn-CS"/>
              </w:rPr>
            </w:pPr>
            <w:r w:rsidRPr="00D33A0B">
              <w:rPr>
                <w:lang w:val="sr-Latn-CS"/>
              </w:rPr>
              <w:t>„Corleone“ d.o.o.</w:t>
            </w:r>
            <w:r w:rsidR="009C0EFC" w:rsidRPr="00D33A0B">
              <w:rPr>
                <w:lang w:val="sr-Latn-CS"/>
              </w:rPr>
              <w:t>,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D9148A" w:rsidP="004D1F76">
            <w:pPr>
              <w:jc w:val="both"/>
              <w:rPr>
                <w:lang w:val="sr-Latn-CS"/>
              </w:rPr>
            </w:pPr>
            <w:r w:rsidRPr="00D33A0B">
              <w:rPr>
                <w:lang w:val="sr-Latn-CS"/>
              </w:rPr>
              <w:t>Donja Lastva</w:t>
            </w:r>
          </w:p>
        </w:tc>
        <w:tc>
          <w:tcPr>
            <w:tcW w:w="1180" w:type="dxa"/>
          </w:tcPr>
          <w:p w:rsidR="00D9148A" w:rsidRPr="00D33A0B" w:rsidRDefault="00D9148A" w:rsidP="001401F6">
            <w:pPr>
              <w:jc w:val="both"/>
              <w:rPr>
                <w:lang w:val="sr-Latn-CS"/>
              </w:rPr>
            </w:pPr>
            <w:r w:rsidRPr="00D33A0B">
              <w:rPr>
                <w:lang w:val="sr-Latn-CS"/>
              </w:rPr>
              <w:t xml:space="preserve">4A1 </w:t>
            </w:r>
            <w:r w:rsidR="001401F6" w:rsidRPr="00D33A0B">
              <w:rPr>
                <w:lang w:val="sr-Latn-CS"/>
              </w:rPr>
              <w:t>4A2</w:t>
            </w:r>
          </w:p>
        </w:tc>
        <w:tc>
          <w:tcPr>
            <w:tcW w:w="5715" w:type="dxa"/>
          </w:tcPr>
          <w:p w:rsidR="00D9148A" w:rsidRPr="00D33A0B" w:rsidRDefault="00D9148A" w:rsidP="004D1F76">
            <w:pPr>
              <w:jc w:val="both"/>
              <w:rPr>
                <w:lang w:val="sr-Latn-CS"/>
              </w:rPr>
            </w:pPr>
            <w:r w:rsidRPr="00D33A0B">
              <w:rPr>
                <w:lang w:val="sr-Latn-CS"/>
              </w:rPr>
              <w:t>HTP „Mimoza“ AD</w:t>
            </w:r>
            <w:r w:rsidR="009C0EFC" w:rsidRPr="00D33A0B">
              <w:rPr>
                <w:lang w:val="sr-Latn-CS"/>
              </w:rPr>
              <w:t>,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D9148A" w:rsidP="004D1F76">
            <w:pPr>
              <w:jc w:val="both"/>
              <w:rPr>
                <w:lang w:val="sr-Latn-CS"/>
              </w:rPr>
            </w:pPr>
            <w:r w:rsidRPr="00D33A0B">
              <w:rPr>
                <w:lang w:val="sr-Latn-CS"/>
              </w:rPr>
              <w:t>Seljanovo</w:t>
            </w:r>
          </w:p>
        </w:tc>
        <w:tc>
          <w:tcPr>
            <w:tcW w:w="1180" w:type="dxa"/>
          </w:tcPr>
          <w:p w:rsidR="00D9148A" w:rsidRPr="00D33A0B" w:rsidRDefault="00D9148A" w:rsidP="004D1F76">
            <w:pPr>
              <w:jc w:val="both"/>
              <w:rPr>
                <w:lang w:val="sr-Latn-CS"/>
              </w:rPr>
            </w:pPr>
            <w:r w:rsidRPr="00D33A0B">
              <w:rPr>
                <w:lang w:val="sr-Latn-CS"/>
              </w:rPr>
              <w:t>5C</w:t>
            </w:r>
          </w:p>
        </w:tc>
        <w:tc>
          <w:tcPr>
            <w:tcW w:w="5715" w:type="dxa"/>
          </w:tcPr>
          <w:p w:rsidR="00D9148A" w:rsidRPr="00D33A0B" w:rsidRDefault="009C0EFC" w:rsidP="004D1F76">
            <w:pPr>
              <w:jc w:val="both"/>
              <w:rPr>
                <w:lang w:val="sr-Latn-CS"/>
              </w:rPr>
            </w:pPr>
            <w:r w:rsidRPr="00D33A0B">
              <w:rPr>
                <w:lang w:val="sr-Latn-CS"/>
              </w:rPr>
              <w:t>San invest“ d.o.o,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D9148A" w:rsidP="004D1F76">
            <w:pPr>
              <w:jc w:val="both"/>
              <w:rPr>
                <w:lang w:val="sr-Latn-CS"/>
              </w:rPr>
            </w:pPr>
            <w:r w:rsidRPr="00D33A0B">
              <w:rPr>
                <w:lang w:val="sr-Latn-CS"/>
              </w:rPr>
              <w:t>Seljanovo</w:t>
            </w:r>
          </w:p>
        </w:tc>
        <w:tc>
          <w:tcPr>
            <w:tcW w:w="1180" w:type="dxa"/>
          </w:tcPr>
          <w:p w:rsidR="00D9148A" w:rsidRPr="00D33A0B" w:rsidRDefault="00D9148A" w:rsidP="004D1F76">
            <w:pPr>
              <w:jc w:val="both"/>
              <w:rPr>
                <w:lang w:val="sr-Latn-CS"/>
              </w:rPr>
            </w:pPr>
            <w:r w:rsidRPr="00D33A0B">
              <w:rPr>
                <w:lang w:val="sr-Latn-CS"/>
              </w:rPr>
              <w:t>5B</w:t>
            </w:r>
          </w:p>
        </w:tc>
        <w:tc>
          <w:tcPr>
            <w:tcW w:w="5715" w:type="dxa"/>
          </w:tcPr>
          <w:p w:rsidR="00D9148A" w:rsidRPr="00D33A0B" w:rsidRDefault="009C0EFC" w:rsidP="004D1F76">
            <w:pPr>
              <w:jc w:val="both"/>
              <w:rPr>
                <w:lang w:val="sr-Latn-CS"/>
              </w:rPr>
            </w:pPr>
            <w:r w:rsidRPr="00D33A0B">
              <w:rPr>
                <w:lang w:val="sr-Latn-CS"/>
              </w:rPr>
              <w:t>TA-NORMA d.o.o.,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9C0EFC" w:rsidP="004D1F76">
            <w:pPr>
              <w:jc w:val="both"/>
              <w:rPr>
                <w:lang w:val="sr-Latn-CS"/>
              </w:rPr>
            </w:pPr>
            <w:r w:rsidRPr="00D33A0B">
              <w:rPr>
                <w:lang w:val="sr-Latn-CS"/>
              </w:rPr>
              <w:t>Ponta Seljanova</w:t>
            </w:r>
          </w:p>
        </w:tc>
        <w:tc>
          <w:tcPr>
            <w:tcW w:w="1180" w:type="dxa"/>
          </w:tcPr>
          <w:p w:rsidR="00D9148A" w:rsidRPr="00D33A0B" w:rsidRDefault="00D9148A" w:rsidP="004D1F76">
            <w:pPr>
              <w:jc w:val="both"/>
              <w:rPr>
                <w:lang w:val="sr-Latn-CS"/>
              </w:rPr>
            </w:pPr>
            <w:r w:rsidRPr="00D33A0B">
              <w:rPr>
                <w:lang w:val="sr-Latn-CS"/>
              </w:rPr>
              <w:t>5A</w:t>
            </w:r>
          </w:p>
        </w:tc>
        <w:tc>
          <w:tcPr>
            <w:tcW w:w="5715" w:type="dxa"/>
          </w:tcPr>
          <w:p w:rsidR="00D9148A" w:rsidRPr="00D33A0B" w:rsidRDefault="009C0EFC" w:rsidP="004D1F76">
            <w:pPr>
              <w:jc w:val="both"/>
              <w:rPr>
                <w:lang w:val="sr-Latn-CS"/>
              </w:rPr>
            </w:pPr>
            <w:r w:rsidRPr="00D33A0B">
              <w:rPr>
                <w:lang w:val="sr-Latn-CS"/>
              </w:rPr>
              <w:t>„Ponta Seljanovo“ d.o.o.,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9C0EFC" w:rsidP="004D1F76">
            <w:pPr>
              <w:jc w:val="both"/>
              <w:rPr>
                <w:lang w:val="sr-Latn-CS"/>
              </w:rPr>
            </w:pPr>
            <w:r w:rsidRPr="00D33A0B">
              <w:rPr>
                <w:lang w:val="sr-Latn-CS"/>
              </w:rPr>
              <w:t>Istočno od Pina</w:t>
            </w:r>
          </w:p>
        </w:tc>
        <w:tc>
          <w:tcPr>
            <w:tcW w:w="1180" w:type="dxa"/>
          </w:tcPr>
          <w:p w:rsidR="00D9148A" w:rsidRPr="00D33A0B" w:rsidRDefault="009C0EFC" w:rsidP="004D1F76">
            <w:pPr>
              <w:jc w:val="both"/>
              <w:rPr>
                <w:lang w:val="sr-Latn-CS"/>
              </w:rPr>
            </w:pPr>
            <w:r w:rsidRPr="00D33A0B">
              <w:rPr>
                <w:lang w:val="sr-Latn-CS"/>
              </w:rPr>
              <w:t>6B</w:t>
            </w:r>
          </w:p>
        </w:tc>
        <w:tc>
          <w:tcPr>
            <w:tcW w:w="5715" w:type="dxa"/>
          </w:tcPr>
          <w:p w:rsidR="00D9148A" w:rsidRPr="00D33A0B" w:rsidRDefault="009C0EFC" w:rsidP="004D1F76">
            <w:pPr>
              <w:jc w:val="both"/>
              <w:rPr>
                <w:lang w:val="sr-Latn-CS"/>
              </w:rPr>
            </w:pPr>
            <w:r w:rsidRPr="00D33A0B">
              <w:rPr>
                <w:lang w:val="sr-Latn-CS"/>
              </w:rPr>
              <w:t>„Olive invest“ d.o.o.,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9C0EFC" w:rsidP="004D1F76">
            <w:pPr>
              <w:jc w:val="both"/>
              <w:rPr>
                <w:lang w:val="sr-Latn-CS"/>
              </w:rPr>
            </w:pPr>
            <w:r w:rsidRPr="00D33A0B">
              <w:rPr>
                <w:lang w:val="sr-Latn-CS"/>
              </w:rPr>
              <w:t>Ispred hotela Palma</w:t>
            </w:r>
          </w:p>
        </w:tc>
        <w:tc>
          <w:tcPr>
            <w:tcW w:w="1180" w:type="dxa"/>
          </w:tcPr>
          <w:p w:rsidR="00D9148A" w:rsidRPr="00D33A0B" w:rsidRDefault="009C0EFC" w:rsidP="004D1F76">
            <w:pPr>
              <w:jc w:val="both"/>
              <w:rPr>
                <w:lang w:val="sr-Latn-CS"/>
              </w:rPr>
            </w:pPr>
            <w:r w:rsidRPr="00D33A0B">
              <w:rPr>
                <w:lang w:val="sr-Latn-CS"/>
              </w:rPr>
              <w:t>6D</w:t>
            </w:r>
          </w:p>
        </w:tc>
        <w:tc>
          <w:tcPr>
            <w:tcW w:w="5715" w:type="dxa"/>
          </w:tcPr>
          <w:p w:rsidR="00D9148A" w:rsidRPr="00D33A0B" w:rsidRDefault="009C0EFC" w:rsidP="004D1F76">
            <w:pPr>
              <w:jc w:val="both"/>
              <w:rPr>
                <w:lang w:val="sr-Latn-CS"/>
              </w:rPr>
            </w:pPr>
            <w:r w:rsidRPr="00D33A0B">
              <w:rPr>
                <w:lang w:val="sr-Latn-CS"/>
              </w:rPr>
              <w:t>„Primorje“ hotels &amp; restaurants a.d., Tivat</w:t>
            </w:r>
          </w:p>
        </w:tc>
      </w:tr>
      <w:tr w:rsidR="00D9148A" w:rsidRPr="00D33A0B" w:rsidTr="001401F6">
        <w:tc>
          <w:tcPr>
            <w:tcW w:w="881" w:type="dxa"/>
          </w:tcPr>
          <w:p w:rsidR="00D9148A" w:rsidRPr="00D33A0B" w:rsidRDefault="00D9148A" w:rsidP="004D1F76">
            <w:pPr>
              <w:numPr>
                <w:ilvl w:val="0"/>
                <w:numId w:val="10"/>
              </w:numPr>
              <w:jc w:val="both"/>
              <w:rPr>
                <w:lang w:val="sr-Latn-CS"/>
              </w:rPr>
            </w:pPr>
          </w:p>
        </w:tc>
        <w:tc>
          <w:tcPr>
            <w:tcW w:w="2442" w:type="dxa"/>
          </w:tcPr>
          <w:p w:rsidR="00D9148A" w:rsidRPr="00D33A0B" w:rsidRDefault="009C0EFC" w:rsidP="004D1F76">
            <w:pPr>
              <w:jc w:val="both"/>
              <w:rPr>
                <w:lang w:val="sr-Latn-CS"/>
              </w:rPr>
            </w:pPr>
            <w:r w:rsidRPr="00D33A0B">
              <w:rPr>
                <w:lang w:val="sr-Latn-CS"/>
              </w:rPr>
              <w:t>Istočno od Pina</w:t>
            </w:r>
          </w:p>
        </w:tc>
        <w:tc>
          <w:tcPr>
            <w:tcW w:w="1180" w:type="dxa"/>
          </w:tcPr>
          <w:p w:rsidR="00D9148A" w:rsidRPr="00D33A0B" w:rsidRDefault="009C0EFC" w:rsidP="004D1F76">
            <w:pPr>
              <w:jc w:val="both"/>
              <w:rPr>
                <w:lang w:val="sr-Latn-CS"/>
              </w:rPr>
            </w:pPr>
            <w:r w:rsidRPr="00D33A0B">
              <w:rPr>
                <w:lang w:val="sr-Latn-CS"/>
              </w:rPr>
              <w:t>6C</w:t>
            </w:r>
          </w:p>
        </w:tc>
        <w:tc>
          <w:tcPr>
            <w:tcW w:w="5715" w:type="dxa"/>
          </w:tcPr>
          <w:p w:rsidR="00D9148A" w:rsidRPr="00D33A0B" w:rsidRDefault="009C0EFC" w:rsidP="004D1F76">
            <w:pPr>
              <w:jc w:val="both"/>
              <w:rPr>
                <w:lang w:val="sr-Latn-CS"/>
              </w:rPr>
            </w:pPr>
            <w:r w:rsidRPr="00D33A0B">
              <w:rPr>
                <w:lang w:val="sr-Latn-CS"/>
              </w:rPr>
              <w:t>„Olive invest“ 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9C0EFC">
            <w:pPr>
              <w:jc w:val="both"/>
              <w:rPr>
                <w:lang w:val="sr-Latn-CS"/>
              </w:rPr>
            </w:pPr>
            <w:r w:rsidRPr="00D33A0B">
              <w:rPr>
                <w:lang w:val="sr-Latn-CS"/>
              </w:rPr>
              <w:t>Belane</w:t>
            </w:r>
          </w:p>
        </w:tc>
        <w:tc>
          <w:tcPr>
            <w:tcW w:w="1180" w:type="dxa"/>
          </w:tcPr>
          <w:p w:rsidR="009C0EFC" w:rsidRPr="00D33A0B" w:rsidRDefault="009C0EFC" w:rsidP="004D1F76">
            <w:pPr>
              <w:jc w:val="both"/>
              <w:rPr>
                <w:lang w:val="sr-Latn-CS"/>
              </w:rPr>
            </w:pPr>
            <w:r w:rsidRPr="00D33A0B">
              <w:rPr>
                <w:lang w:val="sr-Latn-CS"/>
              </w:rPr>
              <w:t>7A</w:t>
            </w:r>
          </w:p>
        </w:tc>
        <w:tc>
          <w:tcPr>
            <w:tcW w:w="5715" w:type="dxa"/>
          </w:tcPr>
          <w:p w:rsidR="009C0EFC" w:rsidRPr="00D33A0B" w:rsidRDefault="009C0EFC" w:rsidP="004D1F76">
            <w:pPr>
              <w:jc w:val="both"/>
              <w:rPr>
                <w:lang w:val="sr-Latn-CS"/>
              </w:rPr>
            </w:pPr>
            <w:r w:rsidRPr="00D33A0B">
              <w:rPr>
                <w:lang w:val="sr-Latn-CS"/>
              </w:rPr>
              <w:t>„Rotor“ d.o.o.</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9C0EFC">
            <w:pPr>
              <w:jc w:val="both"/>
              <w:rPr>
                <w:lang w:val="sr-Latn-CS"/>
              </w:rPr>
            </w:pPr>
            <w:r w:rsidRPr="00D33A0B">
              <w:rPr>
                <w:lang w:val="sr-Latn-CS"/>
              </w:rPr>
              <w:t>Kukoljina</w:t>
            </w:r>
          </w:p>
        </w:tc>
        <w:tc>
          <w:tcPr>
            <w:tcW w:w="1180" w:type="dxa"/>
          </w:tcPr>
          <w:p w:rsidR="009C0EFC" w:rsidRPr="00D33A0B" w:rsidRDefault="009C0EFC" w:rsidP="004D1F76">
            <w:pPr>
              <w:jc w:val="both"/>
              <w:rPr>
                <w:lang w:val="sr-Latn-CS"/>
              </w:rPr>
            </w:pPr>
            <w:r w:rsidRPr="00D33A0B">
              <w:rPr>
                <w:lang w:val="sr-Latn-CS"/>
              </w:rPr>
              <w:t>8A</w:t>
            </w:r>
          </w:p>
        </w:tc>
        <w:tc>
          <w:tcPr>
            <w:tcW w:w="5715" w:type="dxa"/>
          </w:tcPr>
          <w:p w:rsidR="009C0EFC" w:rsidRPr="00D33A0B" w:rsidRDefault="009C0EFC" w:rsidP="004D1F76">
            <w:pPr>
              <w:jc w:val="both"/>
              <w:rPr>
                <w:lang w:val="sr-Latn-CS"/>
              </w:rPr>
            </w:pPr>
            <w:r w:rsidRPr="00D33A0B">
              <w:rPr>
                <w:lang w:val="sr-Latn-CS"/>
              </w:rPr>
              <w:t>Slobodan Vujović,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9C0EFC">
            <w:pPr>
              <w:jc w:val="both"/>
              <w:rPr>
                <w:lang w:val="sr-Latn-CS"/>
              </w:rPr>
            </w:pPr>
            <w:r w:rsidRPr="00D33A0B">
              <w:rPr>
                <w:lang w:val="sr-Latn-CS"/>
              </w:rPr>
              <w:t>Kalardovo</w:t>
            </w:r>
          </w:p>
        </w:tc>
        <w:tc>
          <w:tcPr>
            <w:tcW w:w="1180" w:type="dxa"/>
          </w:tcPr>
          <w:p w:rsidR="009C0EFC" w:rsidRPr="00D33A0B" w:rsidRDefault="009C0EFC" w:rsidP="004D1F76">
            <w:pPr>
              <w:jc w:val="both"/>
              <w:rPr>
                <w:lang w:val="sr-Latn-CS"/>
              </w:rPr>
            </w:pPr>
            <w:r w:rsidRPr="00D33A0B">
              <w:rPr>
                <w:lang w:val="sr-Latn-CS"/>
              </w:rPr>
              <w:t>9A</w:t>
            </w:r>
          </w:p>
        </w:tc>
        <w:tc>
          <w:tcPr>
            <w:tcW w:w="5715" w:type="dxa"/>
          </w:tcPr>
          <w:p w:rsidR="009C0EFC" w:rsidRPr="00D33A0B" w:rsidRDefault="009C0EFC" w:rsidP="004D1F76">
            <w:pPr>
              <w:jc w:val="both"/>
              <w:rPr>
                <w:lang w:val="sr-Latn-CS"/>
              </w:rPr>
            </w:pPr>
            <w:r w:rsidRPr="00D33A0B">
              <w:rPr>
                <w:lang w:val="sr-Latn-CS"/>
              </w:rPr>
              <w:t>„Kalardovo plus“ 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9C0EFC">
            <w:pPr>
              <w:jc w:val="both"/>
              <w:rPr>
                <w:lang w:val="sr-Latn-CS"/>
              </w:rPr>
            </w:pPr>
            <w:r w:rsidRPr="00D33A0B">
              <w:rPr>
                <w:lang w:val="sr-Latn-CS"/>
              </w:rPr>
              <w:t>Obala Đuraševića</w:t>
            </w:r>
          </w:p>
        </w:tc>
        <w:tc>
          <w:tcPr>
            <w:tcW w:w="1180" w:type="dxa"/>
          </w:tcPr>
          <w:p w:rsidR="009C0EFC" w:rsidRPr="00D33A0B" w:rsidRDefault="009C0EFC" w:rsidP="004D1F76">
            <w:pPr>
              <w:jc w:val="both"/>
              <w:rPr>
                <w:lang w:val="sr-Latn-CS"/>
              </w:rPr>
            </w:pPr>
            <w:r w:rsidRPr="00D33A0B">
              <w:rPr>
                <w:lang w:val="sr-Latn-CS"/>
              </w:rPr>
              <w:t>10B</w:t>
            </w:r>
          </w:p>
        </w:tc>
        <w:tc>
          <w:tcPr>
            <w:tcW w:w="5715" w:type="dxa"/>
          </w:tcPr>
          <w:p w:rsidR="009C0EFC" w:rsidRPr="00D33A0B" w:rsidRDefault="001401F6" w:rsidP="004D1F76">
            <w:pPr>
              <w:jc w:val="both"/>
              <w:rPr>
                <w:lang w:val="sr-Latn-CS"/>
              </w:rPr>
            </w:pPr>
            <w:r w:rsidRPr="00D33A0B">
              <w:rPr>
                <w:lang w:val="sr-Latn-CS"/>
              </w:rPr>
              <w:t>„Sammcomerc“d.o.o.,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9C0EFC">
            <w:pPr>
              <w:jc w:val="both"/>
              <w:rPr>
                <w:lang w:val="sr-Latn-CS"/>
              </w:rPr>
            </w:pPr>
            <w:r w:rsidRPr="00D33A0B">
              <w:rPr>
                <w:lang w:val="sr-Latn-CS"/>
              </w:rPr>
              <w:t>Obala Đurašvića</w:t>
            </w:r>
          </w:p>
        </w:tc>
        <w:tc>
          <w:tcPr>
            <w:tcW w:w="1180" w:type="dxa"/>
          </w:tcPr>
          <w:p w:rsidR="009C0EFC" w:rsidRPr="00D33A0B" w:rsidRDefault="009C0EFC" w:rsidP="004D1F76">
            <w:pPr>
              <w:jc w:val="both"/>
              <w:rPr>
                <w:lang w:val="sr-Latn-CS"/>
              </w:rPr>
            </w:pPr>
            <w:r w:rsidRPr="00D33A0B">
              <w:rPr>
                <w:lang w:val="sr-Latn-CS"/>
              </w:rPr>
              <w:t>10D</w:t>
            </w:r>
          </w:p>
        </w:tc>
        <w:tc>
          <w:tcPr>
            <w:tcW w:w="5715" w:type="dxa"/>
          </w:tcPr>
          <w:p w:rsidR="009C0EFC" w:rsidRPr="00D33A0B" w:rsidRDefault="001401F6" w:rsidP="004D1F76">
            <w:pPr>
              <w:jc w:val="both"/>
              <w:rPr>
                <w:lang w:val="sr-Latn-CS"/>
              </w:rPr>
            </w:pPr>
            <w:r w:rsidRPr="00D33A0B">
              <w:rPr>
                <w:lang w:val="sr-Latn-CS"/>
              </w:rPr>
              <w:t>„Vizantia club“ 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4D1F76">
            <w:pPr>
              <w:jc w:val="both"/>
              <w:rPr>
                <w:lang w:val="sr-Latn-CS"/>
              </w:rPr>
            </w:pPr>
            <w:r w:rsidRPr="00D33A0B">
              <w:rPr>
                <w:lang w:val="sr-Latn-CS"/>
              </w:rPr>
              <w:t>Solila – Stara Račica</w:t>
            </w:r>
          </w:p>
        </w:tc>
        <w:tc>
          <w:tcPr>
            <w:tcW w:w="1180" w:type="dxa"/>
          </w:tcPr>
          <w:p w:rsidR="009C0EFC" w:rsidRPr="00D33A0B" w:rsidRDefault="009C0EFC" w:rsidP="004D1F76">
            <w:pPr>
              <w:jc w:val="both"/>
              <w:rPr>
                <w:lang w:val="sr-Latn-CS"/>
              </w:rPr>
            </w:pPr>
            <w:r w:rsidRPr="00D33A0B">
              <w:rPr>
                <w:lang w:val="sr-Latn-CS"/>
              </w:rPr>
              <w:t>10A</w:t>
            </w:r>
          </w:p>
        </w:tc>
        <w:tc>
          <w:tcPr>
            <w:tcW w:w="5715" w:type="dxa"/>
          </w:tcPr>
          <w:p w:rsidR="009C0EFC" w:rsidRPr="00D33A0B" w:rsidRDefault="001401F6" w:rsidP="004D1F76">
            <w:pPr>
              <w:jc w:val="both"/>
              <w:rPr>
                <w:lang w:val="sr-Latn-CS"/>
              </w:rPr>
            </w:pPr>
            <w:r w:rsidRPr="00D33A0B">
              <w:rPr>
                <w:lang w:val="sr-Latn-CS"/>
              </w:rPr>
              <w:t>„Movida“ 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4D1F76">
            <w:pPr>
              <w:jc w:val="both"/>
              <w:rPr>
                <w:lang w:val="sr-Latn-CS"/>
              </w:rPr>
            </w:pPr>
            <w:r w:rsidRPr="00D33A0B">
              <w:rPr>
                <w:lang w:val="sr-Latn-CS"/>
              </w:rPr>
              <w:t>Krašići</w:t>
            </w:r>
          </w:p>
        </w:tc>
        <w:tc>
          <w:tcPr>
            <w:tcW w:w="1180" w:type="dxa"/>
          </w:tcPr>
          <w:p w:rsidR="009C0EFC" w:rsidRPr="00D33A0B" w:rsidRDefault="009C0EFC" w:rsidP="004D1F76">
            <w:pPr>
              <w:jc w:val="both"/>
              <w:rPr>
                <w:lang w:val="sr-Latn-CS"/>
              </w:rPr>
            </w:pPr>
            <w:r w:rsidRPr="00D33A0B">
              <w:rPr>
                <w:lang w:val="sr-Latn-CS"/>
              </w:rPr>
              <w:t>11C</w:t>
            </w:r>
          </w:p>
        </w:tc>
        <w:tc>
          <w:tcPr>
            <w:tcW w:w="5715" w:type="dxa"/>
          </w:tcPr>
          <w:p w:rsidR="009C0EFC" w:rsidRPr="00D33A0B" w:rsidRDefault="001401F6" w:rsidP="004D1F76">
            <w:pPr>
              <w:jc w:val="both"/>
              <w:rPr>
                <w:lang w:val="sr-Latn-CS"/>
              </w:rPr>
            </w:pPr>
            <w:r w:rsidRPr="00D33A0B">
              <w:rPr>
                <w:lang w:val="sr-Latn-CS"/>
              </w:rPr>
              <w:t>„Onna grouop“ 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4D1F76">
            <w:pPr>
              <w:jc w:val="both"/>
              <w:rPr>
                <w:lang w:val="sr-Latn-CS"/>
              </w:rPr>
            </w:pPr>
            <w:r w:rsidRPr="00D33A0B">
              <w:rPr>
                <w:lang w:val="sr-Latn-CS"/>
              </w:rPr>
              <w:t>Krašići</w:t>
            </w:r>
          </w:p>
        </w:tc>
        <w:tc>
          <w:tcPr>
            <w:tcW w:w="1180" w:type="dxa"/>
          </w:tcPr>
          <w:p w:rsidR="009C0EFC" w:rsidRPr="00D33A0B" w:rsidRDefault="009C0EFC" w:rsidP="004D1F76">
            <w:pPr>
              <w:jc w:val="both"/>
              <w:rPr>
                <w:lang w:val="sr-Latn-CS"/>
              </w:rPr>
            </w:pPr>
            <w:r w:rsidRPr="00D33A0B">
              <w:rPr>
                <w:lang w:val="sr-Latn-CS"/>
              </w:rPr>
              <w:t>11C</w:t>
            </w:r>
          </w:p>
        </w:tc>
        <w:tc>
          <w:tcPr>
            <w:tcW w:w="5715" w:type="dxa"/>
          </w:tcPr>
          <w:p w:rsidR="009C0EFC" w:rsidRPr="00D33A0B" w:rsidRDefault="001401F6" w:rsidP="004D1F76">
            <w:pPr>
              <w:jc w:val="both"/>
              <w:rPr>
                <w:lang w:val="sr-Latn-CS"/>
              </w:rPr>
            </w:pPr>
            <w:r w:rsidRPr="00D33A0B">
              <w:rPr>
                <w:lang w:val="sr-Latn-CS"/>
              </w:rPr>
              <w:t>„Onna grouop“ 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4D1F76">
            <w:pPr>
              <w:jc w:val="both"/>
              <w:rPr>
                <w:lang w:val="sr-Latn-CS"/>
              </w:rPr>
            </w:pPr>
            <w:r w:rsidRPr="00D33A0B">
              <w:rPr>
                <w:lang w:val="sr-Latn-CS"/>
              </w:rPr>
              <w:t>Krašići</w:t>
            </w:r>
          </w:p>
        </w:tc>
        <w:tc>
          <w:tcPr>
            <w:tcW w:w="1180" w:type="dxa"/>
          </w:tcPr>
          <w:p w:rsidR="009C0EFC" w:rsidRPr="00D33A0B" w:rsidRDefault="009C0EFC" w:rsidP="004D1F76">
            <w:pPr>
              <w:jc w:val="both"/>
              <w:rPr>
                <w:lang w:val="sr-Latn-CS"/>
              </w:rPr>
            </w:pPr>
            <w:r w:rsidRPr="00D33A0B">
              <w:rPr>
                <w:lang w:val="sr-Latn-CS"/>
              </w:rPr>
              <w:t>11B</w:t>
            </w:r>
          </w:p>
        </w:tc>
        <w:tc>
          <w:tcPr>
            <w:tcW w:w="5715" w:type="dxa"/>
          </w:tcPr>
          <w:p w:rsidR="009C0EFC" w:rsidRPr="00D33A0B" w:rsidRDefault="001401F6" w:rsidP="004D1F76">
            <w:pPr>
              <w:jc w:val="both"/>
              <w:rPr>
                <w:lang w:val="sr-Latn-CS"/>
              </w:rPr>
            </w:pPr>
            <w:r w:rsidRPr="00D33A0B">
              <w:rPr>
                <w:lang w:val="sr-Latn-CS"/>
              </w:rPr>
              <w:t>„Francesković“ 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9C0EFC" w:rsidP="004D1F76">
            <w:pPr>
              <w:jc w:val="both"/>
              <w:rPr>
                <w:lang w:val="sr-Latn-CS"/>
              </w:rPr>
            </w:pPr>
            <w:r w:rsidRPr="00D33A0B">
              <w:rPr>
                <w:lang w:val="sr-Latn-CS"/>
              </w:rPr>
              <w:t>Krašići</w:t>
            </w:r>
          </w:p>
        </w:tc>
        <w:tc>
          <w:tcPr>
            <w:tcW w:w="1180" w:type="dxa"/>
          </w:tcPr>
          <w:p w:rsidR="009C0EFC" w:rsidRPr="00D33A0B" w:rsidRDefault="009C0EFC" w:rsidP="004D1F76">
            <w:pPr>
              <w:jc w:val="both"/>
              <w:rPr>
                <w:lang w:val="sr-Latn-CS"/>
              </w:rPr>
            </w:pPr>
            <w:r w:rsidRPr="00D33A0B">
              <w:rPr>
                <w:lang w:val="sr-Latn-CS"/>
              </w:rPr>
              <w:t>11A</w:t>
            </w:r>
          </w:p>
        </w:tc>
        <w:tc>
          <w:tcPr>
            <w:tcW w:w="5715" w:type="dxa"/>
          </w:tcPr>
          <w:p w:rsidR="009C0EFC" w:rsidRPr="00D33A0B" w:rsidRDefault="001401F6" w:rsidP="004D1F76">
            <w:pPr>
              <w:jc w:val="both"/>
              <w:rPr>
                <w:lang w:val="sr-Latn-CS"/>
              </w:rPr>
            </w:pPr>
            <w:r w:rsidRPr="00D33A0B">
              <w:rPr>
                <w:lang w:val="sr-Latn-CS"/>
              </w:rPr>
              <w:t>„Šturri“ d.o.o., Tivat</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1401F6" w:rsidP="004D1F76">
            <w:pPr>
              <w:jc w:val="both"/>
              <w:rPr>
                <w:lang w:val="sr-Latn-CS"/>
              </w:rPr>
            </w:pPr>
            <w:r w:rsidRPr="00D33A0B">
              <w:rPr>
                <w:lang w:val="sr-Latn-CS"/>
              </w:rPr>
              <w:t>Plavi horizont</w:t>
            </w:r>
          </w:p>
        </w:tc>
        <w:tc>
          <w:tcPr>
            <w:tcW w:w="1180" w:type="dxa"/>
          </w:tcPr>
          <w:p w:rsidR="009C0EFC" w:rsidRPr="00D33A0B" w:rsidRDefault="001401F6" w:rsidP="004D1F76">
            <w:pPr>
              <w:jc w:val="both"/>
              <w:rPr>
                <w:lang w:val="sr-Latn-CS"/>
              </w:rPr>
            </w:pPr>
            <w:r w:rsidRPr="00D33A0B">
              <w:rPr>
                <w:lang w:val="sr-Latn-CS"/>
              </w:rPr>
              <w:t>12A1</w:t>
            </w:r>
          </w:p>
        </w:tc>
        <w:tc>
          <w:tcPr>
            <w:tcW w:w="5715" w:type="dxa"/>
          </w:tcPr>
          <w:p w:rsidR="009C0EFC" w:rsidRPr="00D33A0B" w:rsidRDefault="001401F6" w:rsidP="004D1F76">
            <w:pPr>
              <w:jc w:val="both"/>
              <w:rPr>
                <w:lang w:val="sr-Latn-CS"/>
              </w:rPr>
            </w:pPr>
            <w:r w:rsidRPr="00D33A0B">
              <w:rPr>
                <w:lang w:val="sr-Latn-CS"/>
              </w:rPr>
              <w:t>„QD Hotel and Property Investment Montenegro“ d.o.o.</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1401F6" w:rsidP="004D1F76">
            <w:pPr>
              <w:jc w:val="both"/>
              <w:rPr>
                <w:lang w:val="sr-Latn-CS"/>
              </w:rPr>
            </w:pPr>
            <w:r w:rsidRPr="00D33A0B">
              <w:rPr>
                <w:lang w:val="sr-Latn-CS"/>
              </w:rPr>
              <w:t>Plavi horizont</w:t>
            </w:r>
          </w:p>
        </w:tc>
        <w:tc>
          <w:tcPr>
            <w:tcW w:w="1180" w:type="dxa"/>
          </w:tcPr>
          <w:p w:rsidR="009C0EFC" w:rsidRPr="00D33A0B" w:rsidRDefault="001401F6" w:rsidP="004D1F76">
            <w:pPr>
              <w:jc w:val="both"/>
              <w:rPr>
                <w:lang w:val="sr-Latn-CS"/>
              </w:rPr>
            </w:pPr>
            <w:r w:rsidRPr="00D33A0B">
              <w:rPr>
                <w:lang w:val="sr-Latn-CS"/>
              </w:rPr>
              <w:t>12A2</w:t>
            </w:r>
          </w:p>
        </w:tc>
        <w:tc>
          <w:tcPr>
            <w:tcW w:w="5715" w:type="dxa"/>
          </w:tcPr>
          <w:p w:rsidR="009C0EFC" w:rsidRPr="00D33A0B" w:rsidRDefault="001401F6" w:rsidP="004D1F76">
            <w:pPr>
              <w:jc w:val="both"/>
              <w:rPr>
                <w:lang w:val="sr-Latn-CS"/>
              </w:rPr>
            </w:pPr>
            <w:r w:rsidRPr="00D33A0B">
              <w:rPr>
                <w:lang w:val="sr-Latn-CS"/>
              </w:rPr>
              <w:t>„QD Hotel and Property Investment Montenegro“ d.o.o.</w:t>
            </w:r>
          </w:p>
        </w:tc>
      </w:tr>
      <w:tr w:rsidR="009C0EFC" w:rsidRPr="00D33A0B" w:rsidTr="001401F6">
        <w:tc>
          <w:tcPr>
            <w:tcW w:w="881" w:type="dxa"/>
          </w:tcPr>
          <w:p w:rsidR="009C0EFC" w:rsidRPr="00D33A0B" w:rsidRDefault="009C0EFC" w:rsidP="004D1F76">
            <w:pPr>
              <w:numPr>
                <w:ilvl w:val="0"/>
                <w:numId w:val="10"/>
              </w:numPr>
              <w:jc w:val="both"/>
              <w:rPr>
                <w:lang w:val="sr-Latn-CS"/>
              </w:rPr>
            </w:pPr>
          </w:p>
        </w:tc>
        <w:tc>
          <w:tcPr>
            <w:tcW w:w="2442" w:type="dxa"/>
          </w:tcPr>
          <w:p w:rsidR="009C0EFC" w:rsidRPr="00D33A0B" w:rsidRDefault="001401F6" w:rsidP="004D1F76">
            <w:pPr>
              <w:jc w:val="both"/>
              <w:rPr>
                <w:lang w:val="sr-Latn-CS"/>
              </w:rPr>
            </w:pPr>
            <w:r w:rsidRPr="00D33A0B">
              <w:rPr>
                <w:lang w:val="sr-Latn-CS"/>
              </w:rPr>
              <w:t>Oblatno</w:t>
            </w:r>
          </w:p>
        </w:tc>
        <w:tc>
          <w:tcPr>
            <w:tcW w:w="1180" w:type="dxa"/>
          </w:tcPr>
          <w:p w:rsidR="009C0EFC" w:rsidRPr="00D33A0B" w:rsidRDefault="001401F6" w:rsidP="004D1F76">
            <w:pPr>
              <w:jc w:val="both"/>
              <w:rPr>
                <w:lang w:val="sr-Latn-CS"/>
              </w:rPr>
            </w:pPr>
            <w:r w:rsidRPr="00D33A0B">
              <w:rPr>
                <w:lang w:val="sr-Latn-CS"/>
              </w:rPr>
              <w:t>13A</w:t>
            </w:r>
          </w:p>
        </w:tc>
        <w:tc>
          <w:tcPr>
            <w:tcW w:w="5715" w:type="dxa"/>
          </w:tcPr>
          <w:p w:rsidR="009C0EFC" w:rsidRPr="00D33A0B" w:rsidRDefault="001401F6" w:rsidP="004D1F76">
            <w:pPr>
              <w:jc w:val="both"/>
              <w:rPr>
                <w:lang w:val="sr-Latn-CS"/>
              </w:rPr>
            </w:pPr>
            <w:r w:rsidRPr="00D33A0B">
              <w:rPr>
                <w:lang w:val="sr-Latn-CS"/>
              </w:rPr>
              <w:t>„Monte Vojage“ d.o.o., Tivat</w:t>
            </w:r>
          </w:p>
        </w:tc>
      </w:tr>
    </w:tbl>
    <w:p w:rsidR="00E5449B" w:rsidRPr="00D33A0B" w:rsidRDefault="00E5449B" w:rsidP="00E5449B">
      <w:pPr>
        <w:jc w:val="both"/>
        <w:rPr>
          <w:lang w:val="sr-Latn-CS"/>
        </w:rPr>
      </w:pPr>
    </w:p>
    <w:p w:rsidR="00982140" w:rsidRPr="00D33A0B" w:rsidRDefault="00E97E36" w:rsidP="00982140">
      <w:pPr>
        <w:pStyle w:val="Heading1"/>
        <w:jc w:val="both"/>
        <w:rPr>
          <w:rFonts w:ascii="Times New Roman" w:hAnsi="Times New Roman"/>
          <w:b w:val="0"/>
          <w:szCs w:val="19"/>
          <w:lang w:val="sr-Latn-CS"/>
        </w:rPr>
      </w:pPr>
      <w:r w:rsidRPr="00D33A0B">
        <w:rPr>
          <w:rFonts w:ascii="Times New Roman" w:hAnsi="Times New Roman"/>
          <w:b w:val="0"/>
          <w:szCs w:val="19"/>
          <w:shd w:val="clear" w:color="auto" w:fill="FFFFFF"/>
          <w:lang w:val="sr-Latn-CS"/>
        </w:rPr>
        <w:t>Više detalja o navedenim ugovorima, kao i o izdatim UT uslovima i rješenjima za rad istih možete pogledati na linku: </w:t>
      </w:r>
      <w:r w:rsidR="00982140" w:rsidRPr="00D33A0B">
        <w:rPr>
          <w:rFonts w:ascii="Times New Roman" w:hAnsi="Times New Roman"/>
          <w:b w:val="0"/>
          <w:szCs w:val="19"/>
          <w:lang w:val="sr-Latn-CS"/>
        </w:rPr>
        <w:t xml:space="preserve"> </w:t>
      </w:r>
      <w:hyperlink r:id="rId7" w:tgtFrame="_blank" w:history="1">
        <w:r w:rsidR="00982140" w:rsidRPr="00D33A0B">
          <w:rPr>
            <w:rStyle w:val="Hyperlink"/>
            <w:rFonts w:ascii="Times New Roman" w:hAnsi="Times New Roman"/>
            <w:b w:val="0"/>
            <w:color w:val="auto"/>
            <w:szCs w:val="19"/>
            <w:u w:val="none"/>
            <w:shd w:val="clear" w:color="auto" w:fill="FFFFFF"/>
            <w:lang w:val="sr-Latn-CS"/>
          </w:rPr>
          <w:t>http://morskodobro.com/index.php/component/ugovori/ugovori?grad=tivat</w:t>
        </w:r>
      </w:hyperlink>
    </w:p>
    <w:p w:rsidR="00982140" w:rsidRPr="00D33A0B" w:rsidRDefault="00E97E36" w:rsidP="00982140">
      <w:pPr>
        <w:pStyle w:val="Heading1"/>
        <w:jc w:val="both"/>
        <w:rPr>
          <w:rFonts w:ascii="Times New Roman" w:hAnsi="Times New Roman"/>
          <w:b w:val="0"/>
          <w:szCs w:val="19"/>
          <w:lang w:val="sr-Latn-CS"/>
        </w:rPr>
      </w:pPr>
      <w:r w:rsidRPr="00D33A0B">
        <w:rPr>
          <w:rFonts w:ascii="Times New Roman" w:hAnsi="Times New Roman"/>
          <w:b w:val="0"/>
          <w:szCs w:val="19"/>
          <w:shd w:val="clear" w:color="auto" w:fill="FFFFFF"/>
          <w:lang w:val="sr-Latn-CS"/>
        </w:rPr>
        <w:t xml:space="preserve">Što se tiče nosilaca priznanja “Plava zastavica” za pomenutu opštinu, to su kupališta </w:t>
      </w:r>
      <w:r w:rsidR="00982140" w:rsidRPr="00D33A0B">
        <w:rPr>
          <w:rStyle w:val="Emphasis"/>
          <w:rFonts w:ascii="Times New Roman" w:hAnsi="Times New Roman"/>
          <w:b w:val="0"/>
          <w:i w:val="0"/>
          <w:iCs w:val="0"/>
          <w:lang w:val="sr-Latn-CS"/>
        </w:rPr>
        <w:t xml:space="preserve">Almara beach, Plavi </w:t>
      </w:r>
      <w:r w:rsidRPr="00D33A0B">
        <w:rPr>
          <w:rStyle w:val="Emphasis"/>
          <w:rFonts w:ascii="Times New Roman" w:hAnsi="Times New Roman"/>
          <w:b w:val="0"/>
          <w:i w:val="0"/>
          <w:iCs w:val="0"/>
          <w:lang w:val="sr-Latn-CS"/>
        </w:rPr>
        <w:t xml:space="preserve">horizonti i </w:t>
      </w:r>
      <w:r w:rsidRPr="00D33A0B">
        <w:rPr>
          <w:rFonts w:ascii="Times New Roman" w:hAnsi="Times New Roman"/>
          <w:b w:val="0"/>
          <w:szCs w:val="19"/>
          <w:shd w:val="clear" w:color="auto" w:fill="FFFFFF"/>
          <w:lang w:val="sr-Latn-CS"/>
        </w:rPr>
        <w:t>Kalardovo.</w:t>
      </w:r>
      <w:r w:rsidR="00982140" w:rsidRPr="00D33A0B">
        <w:rPr>
          <w:rFonts w:ascii="Times New Roman" w:hAnsi="Times New Roman"/>
          <w:b w:val="0"/>
          <w:lang w:val="sr-Latn-CS"/>
        </w:rPr>
        <w:t xml:space="preserve"> </w:t>
      </w:r>
    </w:p>
    <w:p w:rsidR="00E5449B" w:rsidRPr="00D33A0B" w:rsidRDefault="00E97E36" w:rsidP="004549A7">
      <w:pPr>
        <w:pStyle w:val="Heading1"/>
        <w:jc w:val="both"/>
        <w:rPr>
          <w:rFonts w:ascii="Times New Roman" w:hAnsi="Times New Roman"/>
          <w:b w:val="0"/>
          <w:lang w:val="sr-Latn-CS"/>
        </w:rPr>
      </w:pPr>
      <w:r w:rsidRPr="00D33A0B">
        <w:rPr>
          <w:rFonts w:ascii="Times New Roman" w:hAnsi="Times New Roman"/>
          <w:b w:val="0"/>
          <w:szCs w:val="19"/>
          <w:shd w:val="clear" w:color="auto" w:fill="FFFFFF"/>
          <w:lang w:val="sr-Latn-CS"/>
        </w:rPr>
        <w:t>Problemi koji su se javljali u toku trajanja ljetnje turističke sezone i koji su najčešće prijavljivani od strane prisutnih na kupalištima odnosili su se, kao i u ostalim primorskim opštinama, na nepoštovanje pravila o postavljanju plažnog mobilijara- tzv. pravila 50 – 50.</w:t>
      </w:r>
      <w:r w:rsidR="00793F2B" w:rsidRPr="00D33A0B">
        <w:rPr>
          <w:rFonts w:ascii="Times New Roman" w:hAnsi="Times New Roman"/>
          <w:b w:val="0"/>
          <w:szCs w:val="19"/>
          <w:lang w:val="sr-Latn-CS"/>
        </w:rPr>
        <w:br/>
      </w:r>
    </w:p>
    <w:p w:rsidR="007E6C18" w:rsidRPr="00D33A0B" w:rsidRDefault="007E6C18" w:rsidP="007E6C18">
      <w:pPr>
        <w:rPr>
          <w:lang w:val="sr-Latn-CS"/>
        </w:rPr>
      </w:pPr>
    </w:p>
    <w:p w:rsidR="007E6C18" w:rsidRPr="00D33A0B" w:rsidRDefault="007E6C18" w:rsidP="007E6C18">
      <w:pPr>
        <w:rPr>
          <w:lang w:val="sr-Latn-CS"/>
        </w:rPr>
      </w:pPr>
    </w:p>
    <w:p w:rsidR="007E6C18" w:rsidRPr="00D33A0B" w:rsidRDefault="007E6C18" w:rsidP="007E6C18">
      <w:pPr>
        <w:rPr>
          <w:lang w:val="sr-Latn-CS"/>
        </w:rPr>
      </w:pPr>
    </w:p>
    <w:p w:rsidR="007E6C18" w:rsidRPr="00D33A0B" w:rsidRDefault="007E6C18" w:rsidP="007E6C18">
      <w:pPr>
        <w:rPr>
          <w:lang w:val="sr-Latn-CS"/>
        </w:rPr>
      </w:pPr>
    </w:p>
    <w:p w:rsidR="00E5449B" w:rsidRPr="00D33A0B" w:rsidRDefault="00E5449B" w:rsidP="00E5449B">
      <w:pPr>
        <w:jc w:val="both"/>
        <w:rPr>
          <w:sz w:val="28"/>
          <w:szCs w:val="28"/>
          <w:u w:val="single"/>
          <w:lang w:val="pl-PL"/>
        </w:rPr>
      </w:pPr>
      <w:r w:rsidRPr="00D33A0B">
        <w:rPr>
          <w:b/>
          <w:sz w:val="28"/>
          <w:szCs w:val="28"/>
          <w:u w:val="single"/>
          <w:lang w:val="pl-PL"/>
        </w:rPr>
        <w:lastRenderedPageBreak/>
        <w:t>LUČKA ISPOSTAVA TIVAT</w:t>
      </w:r>
    </w:p>
    <w:p w:rsidR="00E5449B" w:rsidRPr="00D33A0B" w:rsidRDefault="00E5449B" w:rsidP="00E5449B">
      <w:pPr>
        <w:jc w:val="both"/>
        <w:rPr>
          <w:sz w:val="28"/>
          <w:szCs w:val="28"/>
          <w:lang w:val="pl-PL"/>
        </w:rPr>
      </w:pPr>
    </w:p>
    <w:p w:rsidR="00E5449B" w:rsidRPr="00D33A0B" w:rsidRDefault="00E5449B" w:rsidP="00E5449B">
      <w:pPr>
        <w:jc w:val="both"/>
        <w:rPr>
          <w:lang w:val="pl-PL"/>
        </w:rPr>
      </w:pPr>
      <w:r w:rsidRPr="00D33A0B">
        <w:rPr>
          <w:lang w:val="pl-PL"/>
        </w:rPr>
        <w:t xml:space="preserve">Prema izvještaju Lučke kapetanije Kotor (Lučka ispostava Tivat) u teritorijalne vode Crne Gore, preko graničnog prelaza u Tivtu, u toku ljeta ušlo je ukupno 1.200 plovila sa 7.797 lica. </w:t>
      </w:r>
    </w:p>
    <w:p w:rsidR="00E5449B" w:rsidRPr="00D33A0B" w:rsidRDefault="00E5449B" w:rsidP="00E5449B">
      <w:pPr>
        <w:jc w:val="both"/>
        <w:rPr>
          <w:lang w:val="pl-PL"/>
        </w:rPr>
      </w:pPr>
    </w:p>
    <w:p w:rsidR="00E5449B" w:rsidRPr="00D33A0B" w:rsidRDefault="00E5449B" w:rsidP="00E5449B">
      <w:pPr>
        <w:jc w:val="both"/>
        <w:rPr>
          <w:lang w:val="pl-PL"/>
        </w:rPr>
      </w:pPr>
      <w:r w:rsidRPr="00D33A0B">
        <w:rPr>
          <w:lang w:val="pl-PL"/>
        </w:rPr>
        <w:t>Po mjesecima (sa uporednim podacima sa prošlom godinom):</w:t>
      </w:r>
    </w:p>
    <w:tbl>
      <w:tblPr>
        <w:tblStyle w:val="TableGrid"/>
        <w:tblW w:w="0" w:type="auto"/>
        <w:tblLook w:val="04A0"/>
      </w:tblPr>
      <w:tblGrid>
        <w:gridCol w:w="1668"/>
        <w:gridCol w:w="816"/>
        <w:gridCol w:w="816"/>
        <w:gridCol w:w="1490"/>
        <w:gridCol w:w="816"/>
        <w:gridCol w:w="816"/>
        <w:gridCol w:w="1453"/>
      </w:tblGrid>
      <w:tr w:rsidR="00E5449B" w:rsidRPr="00D33A0B" w:rsidTr="004D1F76">
        <w:tc>
          <w:tcPr>
            <w:tcW w:w="1668" w:type="dxa"/>
            <w:vMerge w:val="restart"/>
            <w:shd w:val="clear" w:color="auto" w:fill="A6A6A6" w:themeFill="background1" w:themeFillShade="A6"/>
          </w:tcPr>
          <w:p w:rsidR="00E5449B" w:rsidRPr="00D33A0B" w:rsidRDefault="00E5449B" w:rsidP="004D1F76">
            <w:pPr>
              <w:jc w:val="both"/>
              <w:rPr>
                <w:lang w:val="pl-PL"/>
              </w:rPr>
            </w:pPr>
          </w:p>
        </w:tc>
        <w:tc>
          <w:tcPr>
            <w:tcW w:w="3122" w:type="dxa"/>
            <w:gridSpan w:val="3"/>
          </w:tcPr>
          <w:p w:rsidR="00E5449B" w:rsidRPr="00D33A0B" w:rsidRDefault="00E5449B" w:rsidP="004D1F76">
            <w:pPr>
              <w:jc w:val="center"/>
              <w:rPr>
                <w:b/>
                <w:lang w:val="pl-PL"/>
              </w:rPr>
            </w:pPr>
            <w:r w:rsidRPr="00D33A0B">
              <w:rPr>
                <w:b/>
                <w:lang w:val="pl-PL"/>
              </w:rPr>
              <w:t>Plovila</w:t>
            </w:r>
          </w:p>
        </w:tc>
        <w:tc>
          <w:tcPr>
            <w:tcW w:w="3085" w:type="dxa"/>
            <w:gridSpan w:val="3"/>
          </w:tcPr>
          <w:p w:rsidR="00E5449B" w:rsidRPr="00D33A0B" w:rsidRDefault="00E5449B" w:rsidP="004D1F76">
            <w:pPr>
              <w:jc w:val="center"/>
              <w:rPr>
                <w:b/>
                <w:lang w:val="pl-PL"/>
              </w:rPr>
            </w:pPr>
            <w:r w:rsidRPr="00D33A0B">
              <w:rPr>
                <w:b/>
                <w:lang w:val="pl-PL"/>
              </w:rPr>
              <w:t>Putnici</w:t>
            </w:r>
          </w:p>
        </w:tc>
      </w:tr>
      <w:tr w:rsidR="00E5449B" w:rsidRPr="00D33A0B" w:rsidTr="004D1F76">
        <w:tc>
          <w:tcPr>
            <w:tcW w:w="1668" w:type="dxa"/>
            <w:vMerge/>
            <w:shd w:val="clear" w:color="auto" w:fill="A6A6A6" w:themeFill="background1" w:themeFillShade="A6"/>
          </w:tcPr>
          <w:p w:rsidR="00E5449B" w:rsidRPr="00D33A0B" w:rsidRDefault="00E5449B" w:rsidP="004D1F76">
            <w:pPr>
              <w:jc w:val="both"/>
              <w:rPr>
                <w:lang w:val="pl-PL"/>
              </w:rPr>
            </w:pPr>
          </w:p>
        </w:tc>
        <w:tc>
          <w:tcPr>
            <w:tcW w:w="816" w:type="dxa"/>
            <w:shd w:val="clear" w:color="auto" w:fill="A6A6A6" w:themeFill="background1" w:themeFillShade="A6"/>
          </w:tcPr>
          <w:p w:rsidR="00E5449B" w:rsidRPr="00D33A0B" w:rsidRDefault="00E5449B" w:rsidP="004D1F76">
            <w:pPr>
              <w:jc w:val="right"/>
              <w:rPr>
                <w:b/>
                <w:lang w:val="pl-PL"/>
              </w:rPr>
            </w:pPr>
            <w:r w:rsidRPr="00D33A0B">
              <w:rPr>
                <w:b/>
                <w:lang w:val="pl-PL"/>
              </w:rPr>
              <w:t>201</w:t>
            </w:r>
            <w:r w:rsidR="009364CB" w:rsidRPr="00D33A0B">
              <w:rPr>
                <w:b/>
                <w:lang w:val="pl-PL"/>
              </w:rPr>
              <w:t>6</w:t>
            </w:r>
          </w:p>
        </w:tc>
        <w:tc>
          <w:tcPr>
            <w:tcW w:w="816" w:type="dxa"/>
            <w:shd w:val="clear" w:color="auto" w:fill="A6A6A6" w:themeFill="background1" w:themeFillShade="A6"/>
          </w:tcPr>
          <w:p w:rsidR="00E5449B" w:rsidRPr="00D33A0B" w:rsidRDefault="00E5449B" w:rsidP="004D1F76">
            <w:pPr>
              <w:jc w:val="right"/>
              <w:rPr>
                <w:b/>
                <w:lang w:val="pl-PL"/>
              </w:rPr>
            </w:pPr>
            <w:r w:rsidRPr="00D33A0B">
              <w:rPr>
                <w:b/>
                <w:lang w:val="pl-PL"/>
              </w:rPr>
              <w:t>201</w:t>
            </w:r>
            <w:r w:rsidR="009364CB" w:rsidRPr="00D33A0B">
              <w:rPr>
                <w:b/>
                <w:lang w:val="pl-PL"/>
              </w:rPr>
              <w:t>5</w:t>
            </w:r>
          </w:p>
        </w:tc>
        <w:tc>
          <w:tcPr>
            <w:tcW w:w="1490" w:type="dxa"/>
            <w:shd w:val="clear" w:color="auto" w:fill="A6A6A6" w:themeFill="background1" w:themeFillShade="A6"/>
          </w:tcPr>
          <w:p w:rsidR="00E5449B" w:rsidRPr="00D33A0B" w:rsidRDefault="009364CB" w:rsidP="009364CB">
            <w:pPr>
              <w:jc w:val="right"/>
              <w:rPr>
                <w:b/>
                <w:lang w:val="pl-PL"/>
              </w:rPr>
            </w:pPr>
            <w:r w:rsidRPr="00D33A0B">
              <w:rPr>
                <w:b/>
                <w:lang w:val="pl-PL"/>
              </w:rPr>
              <w:t>Index 16</w:t>
            </w:r>
            <w:r w:rsidR="00E5449B" w:rsidRPr="00D33A0B">
              <w:rPr>
                <w:b/>
                <w:lang w:val="pl-PL"/>
              </w:rPr>
              <w:t>/1</w:t>
            </w:r>
            <w:r w:rsidRPr="00D33A0B">
              <w:rPr>
                <w:b/>
                <w:lang w:val="pl-PL"/>
              </w:rPr>
              <w:t>5</w:t>
            </w:r>
          </w:p>
        </w:tc>
        <w:tc>
          <w:tcPr>
            <w:tcW w:w="816" w:type="dxa"/>
            <w:shd w:val="clear" w:color="auto" w:fill="A6A6A6" w:themeFill="background1" w:themeFillShade="A6"/>
          </w:tcPr>
          <w:p w:rsidR="00E5449B" w:rsidRPr="00D33A0B" w:rsidRDefault="00E5449B" w:rsidP="004D1F76">
            <w:pPr>
              <w:jc w:val="right"/>
              <w:rPr>
                <w:b/>
                <w:lang w:val="pl-PL"/>
              </w:rPr>
            </w:pPr>
            <w:r w:rsidRPr="00D33A0B">
              <w:rPr>
                <w:b/>
                <w:lang w:val="pl-PL"/>
              </w:rPr>
              <w:t>201</w:t>
            </w:r>
            <w:r w:rsidR="009364CB" w:rsidRPr="00D33A0B">
              <w:rPr>
                <w:b/>
                <w:lang w:val="pl-PL"/>
              </w:rPr>
              <w:t>6</w:t>
            </w:r>
          </w:p>
        </w:tc>
        <w:tc>
          <w:tcPr>
            <w:tcW w:w="816" w:type="dxa"/>
            <w:shd w:val="clear" w:color="auto" w:fill="A6A6A6" w:themeFill="background1" w:themeFillShade="A6"/>
          </w:tcPr>
          <w:p w:rsidR="00E5449B" w:rsidRPr="00D33A0B" w:rsidRDefault="00E5449B" w:rsidP="004D1F76">
            <w:pPr>
              <w:jc w:val="right"/>
              <w:rPr>
                <w:b/>
                <w:lang w:val="pl-PL"/>
              </w:rPr>
            </w:pPr>
            <w:r w:rsidRPr="00D33A0B">
              <w:rPr>
                <w:b/>
                <w:lang w:val="pl-PL"/>
              </w:rPr>
              <w:t>201</w:t>
            </w:r>
            <w:r w:rsidR="009364CB" w:rsidRPr="00D33A0B">
              <w:rPr>
                <w:b/>
                <w:lang w:val="pl-PL"/>
              </w:rPr>
              <w:t>5</w:t>
            </w:r>
          </w:p>
        </w:tc>
        <w:tc>
          <w:tcPr>
            <w:tcW w:w="1453" w:type="dxa"/>
            <w:shd w:val="clear" w:color="auto" w:fill="A6A6A6" w:themeFill="background1" w:themeFillShade="A6"/>
          </w:tcPr>
          <w:p w:rsidR="00E5449B" w:rsidRPr="00D33A0B" w:rsidRDefault="009364CB" w:rsidP="009364CB">
            <w:pPr>
              <w:jc w:val="right"/>
              <w:rPr>
                <w:b/>
                <w:lang w:val="pl-PL"/>
              </w:rPr>
            </w:pPr>
            <w:r w:rsidRPr="00D33A0B">
              <w:rPr>
                <w:b/>
                <w:lang w:val="pl-PL"/>
              </w:rPr>
              <w:t>Index 16</w:t>
            </w:r>
            <w:r w:rsidR="00E5449B" w:rsidRPr="00D33A0B">
              <w:rPr>
                <w:b/>
                <w:lang w:val="pl-PL"/>
              </w:rPr>
              <w:t>/1</w:t>
            </w:r>
            <w:r w:rsidRPr="00D33A0B">
              <w:rPr>
                <w:b/>
                <w:lang w:val="pl-PL"/>
              </w:rPr>
              <w:t>5</w:t>
            </w:r>
          </w:p>
        </w:tc>
      </w:tr>
      <w:tr w:rsidR="009364CB" w:rsidRPr="00D33A0B" w:rsidTr="004D1F76">
        <w:tc>
          <w:tcPr>
            <w:tcW w:w="1668" w:type="dxa"/>
          </w:tcPr>
          <w:p w:rsidR="009364CB" w:rsidRPr="00D33A0B" w:rsidRDefault="009364CB" w:rsidP="004D1F76">
            <w:pPr>
              <w:jc w:val="both"/>
              <w:rPr>
                <w:lang w:val="pl-PL"/>
              </w:rPr>
            </w:pPr>
            <w:r w:rsidRPr="00D33A0B">
              <w:rPr>
                <w:lang w:val="pl-PL"/>
              </w:rPr>
              <w:t>Jun</w:t>
            </w:r>
          </w:p>
        </w:tc>
        <w:tc>
          <w:tcPr>
            <w:tcW w:w="816" w:type="dxa"/>
          </w:tcPr>
          <w:p w:rsidR="009364CB" w:rsidRPr="00D33A0B" w:rsidRDefault="009364CB" w:rsidP="004D1F76">
            <w:pPr>
              <w:jc w:val="right"/>
              <w:rPr>
                <w:lang w:val="pl-PL"/>
              </w:rPr>
            </w:pPr>
            <w:r w:rsidRPr="00D33A0B">
              <w:rPr>
                <w:lang w:val="pl-PL"/>
              </w:rPr>
              <w:t>259</w:t>
            </w:r>
          </w:p>
        </w:tc>
        <w:tc>
          <w:tcPr>
            <w:tcW w:w="816" w:type="dxa"/>
          </w:tcPr>
          <w:p w:rsidR="009364CB" w:rsidRPr="00D33A0B" w:rsidRDefault="009364CB" w:rsidP="003D3B12">
            <w:pPr>
              <w:jc w:val="right"/>
              <w:rPr>
                <w:lang w:val="pl-PL"/>
              </w:rPr>
            </w:pPr>
            <w:r w:rsidRPr="00D33A0B">
              <w:rPr>
                <w:lang w:val="pl-PL"/>
              </w:rPr>
              <w:t>297</w:t>
            </w:r>
          </w:p>
        </w:tc>
        <w:tc>
          <w:tcPr>
            <w:tcW w:w="1490" w:type="dxa"/>
          </w:tcPr>
          <w:p w:rsidR="009364CB" w:rsidRPr="00D33A0B" w:rsidRDefault="009C36AF" w:rsidP="004D1F76">
            <w:pPr>
              <w:jc w:val="right"/>
              <w:rPr>
                <w:lang w:val="pl-PL"/>
              </w:rPr>
            </w:pPr>
            <w:r w:rsidRPr="00D33A0B">
              <w:rPr>
                <w:lang w:val="pl-PL"/>
              </w:rPr>
              <w:t>87</w:t>
            </w:r>
          </w:p>
        </w:tc>
        <w:tc>
          <w:tcPr>
            <w:tcW w:w="816" w:type="dxa"/>
          </w:tcPr>
          <w:p w:rsidR="009364CB" w:rsidRPr="00D33A0B" w:rsidRDefault="009364CB" w:rsidP="004D1F76">
            <w:pPr>
              <w:jc w:val="right"/>
              <w:rPr>
                <w:lang w:val="pl-PL"/>
              </w:rPr>
            </w:pPr>
            <w:r w:rsidRPr="00D33A0B">
              <w:rPr>
                <w:lang w:val="pl-PL"/>
              </w:rPr>
              <w:t>976</w:t>
            </w:r>
          </w:p>
        </w:tc>
        <w:tc>
          <w:tcPr>
            <w:tcW w:w="816" w:type="dxa"/>
          </w:tcPr>
          <w:p w:rsidR="009364CB" w:rsidRPr="00D33A0B" w:rsidRDefault="009364CB" w:rsidP="003D3B12">
            <w:pPr>
              <w:jc w:val="right"/>
              <w:rPr>
                <w:lang w:val="pl-PL"/>
              </w:rPr>
            </w:pPr>
            <w:r w:rsidRPr="00D33A0B">
              <w:rPr>
                <w:lang w:val="pl-PL"/>
              </w:rPr>
              <w:t>1.967</w:t>
            </w:r>
          </w:p>
        </w:tc>
        <w:tc>
          <w:tcPr>
            <w:tcW w:w="1453" w:type="dxa"/>
          </w:tcPr>
          <w:p w:rsidR="009364CB" w:rsidRPr="00D33A0B" w:rsidRDefault="009364CB" w:rsidP="004D1F76">
            <w:pPr>
              <w:jc w:val="right"/>
              <w:rPr>
                <w:lang w:val="pl-PL"/>
              </w:rPr>
            </w:pPr>
            <w:r w:rsidRPr="00D33A0B">
              <w:rPr>
                <w:lang w:val="pl-PL"/>
              </w:rPr>
              <w:t>50</w:t>
            </w:r>
          </w:p>
        </w:tc>
      </w:tr>
      <w:tr w:rsidR="009364CB" w:rsidRPr="00D33A0B" w:rsidTr="004D1F76">
        <w:tc>
          <w:tcPr>
            <w:tcW w:w="1668" w:type="dxa"/>
          </w:tcPr>
          <w:p w:rsidR="009364CB" w:rsidRPr="00D33A0B" w:rsidRDefault="009364CB" w:rsidP="004D1F76">
            <w:pPr>
              <w:jc w:val="both"/>
              <w:rPr>
                <w:lang w:val="pl-PL"/>
              </w:rPr>
            </w:pPr>
            <w:r w:rsidRPr="00D33A0B">
              <w:rPr>
                <w:lang w:val="pl-PL"/>
              </w:rPr>
              <w:t>Jul</w:t>
            </w:r>
          </w:p>
        </w:tc>
        <w:tc>
          <w:tcPr>
            <w:tcW w:w="816" w:type="dxa"/>
          </w:tcPr>
          <w:p w:rsidR="009364CB" w:rsidRPr="00D33A0B" w:rsidRDefault="009364CB" w:rsidP="004D1F76">
            <w:pPr>
              <w:jc w:val="right"/>
              <w:rPr>
                <w:lang w:val="pl-PL"/>
              </w:rPr>
            </w:pPr>
            <w:r w:rsidRPr="00D33A0B">
              <w:rPr>
                <w:lang w:val="pl-PL"/>
              </w:rPr>
              <w:t>501</w:t>
            </w:r>
          </w:p>
        </w:tc>
        <w:tc>
          <w:tcPr>
            <w:tcW w:w="816" w:type="dxa"/>
          </w:tcPr>
          <w:p w:rsidR="009364CB" w:rsidRPr="00D33A0B" w:rsidRDefault="009364CB" w:rsidP="003D3B12">
            <w:pPr>
              <w:jc w:val="right"/>
              <w:rPr>
                <w:lang w:val="pl-PL"/>
              </w:rPr>
            </w:pPr>
            <w:r w:rsidRPr="00D33A0B">
              <w:rPr>
                <w:lang w:val="pl-PL"/>
              </w:rPr>
              <w:t>446</w:t>
            </w:r>
          </w:p>
        </w:tc>
        <w:tc>
          <w:tcPr>
            <w:tcW w:w="1490" w:type="dxa"/>
          </w:tcPr>
          <w:p w:rsidR="009364CB" w:rsidRPr="00D33A0B" w:rsidRDefault="009C36AF" w:rsidP="004D1F76">
            <w:pPr>
              <w:jc w:val="right"/>
              <w:rPr>
                <w:lang w:val="pl-PL"/>
              </w:rPr>
            </w:pPr>
            <w:r w:rsidRPr="00D33A0B">
              <w:rPr>
                <w:lang w:val="pl-PL"/>
              </w:rPr>
              <w:t>112</w:t>
            </w:r>
          </w:p>
        </w:tc>
        <w:tc>
          <w:tcPr>
            <w:tcW w:w="816" w:type="dxa"/>
          </w:tcPr>
          <w:p w:rsidR="009364CB" w:rsidRPr="00D33A0B" w:rsidRDefault="009364CB" w:rsidP="004D1F76">
            <w:pPr>
              <w:jc w:val="right"/>
              <w:rPr>
                <w:lang w:val="pl-PL"/>
              </w:rPr>
            </w:pPr>
            <w:r w:rsidRPr="00D33A0B">
              <w:rPr>
                <w:lang w:val="pl-PL"/>
              </w:rPr>
              <w:t>2790</w:t>
            </w:r>
          </w:p>
        </w:tc>
        <w:tc>
          <w:tcPr>
            <w:tcW w:w="816" w:type="dxa"/>
          </w:tcPr>
          <w:p w:rsidR="009364CB" w:rsidRPr="00D33A0B" w:rsidRDefault="009364CB" w:rsidP="003D3B12">
            <w:pPr>
              <w:jc w:val="right"/>
              <w:rPr>
                <w:lang w:val="pl-PL"/>
              </w:rPr>
            </w:pPr>
            <w:r w:rsidRPr="00D33A0B">
              <w:rPr>
                <w:lang w:val="pl-PL"/>
              </w:rPr>
              <w:t>2.789</w:t>
            </w:r>
          </w:p>
        </w:tc>
        <w:tc>
          <w:tcPr>
            <w:tcW w:w="1453" w:type="dxa"/>
          </w:tcPr>
          <w:p w:rsidR="009364CB" w:rsidRPr="00D33A0B" w:rsidRDefault="009364CB" w:rsidP="004D1F76">
            <w:pPr>
              <w:jc w:val="right"/>
              <w:rPr>
                <w:lang w:val="pl-PL"/>
              </w:rPr>
            </w:pPr>
            <w:r w:rsidRPr="00D33A0B">
              <w:rPr>
                <w:lang w:val="pl-PL"/>
              </w:rPr>
              <w:t>100</w:t>
            </w:r>
          </w:p>
        </w:tc>
      </w:tr>
      <w:tr w:rsidR="009364CB" w:rsidRPr="00D33A0B" w:rsidTr="004D1F76">
        <w:tc>
          <w:tcPr>
            <w:tcW w:w="1668" w:type="dxa"/>
          </w:tcPr>
          <w:p w:rsidR="009364CB" w:rsidRPr="00D33A0B" w:rsidRDefault="009364CB" w:rsidP="004D1F76">
            <w:pPr>
              <w:jc w:val="both"/>
              <w:rPr>
                <w:lang w:val="pl-PL"/>
              </w:rPr>
            </w:pPr>
            <w:r w:rsidRPr="00D33A0B">
              <w:rPr>
                <w:lang w:val="pl-PL"/>
              </w:rPr>
              <w:t>Avgust</w:t>
            </w:r>
          </w:p>
        </w:tc>
        <w:tc>
          <w:tcPr>
            <w:tcW w:w="816" w:type="dxa"/>
          </w:tcPr>
          <w:p w:rsidR="009364CB" w:rsidRPr="00D33A0B" w:rsidRDefault="009364CB" w:rsidP="004D1F76">
            <w:pPr>
              <w:jc w:val="right"/>
              <w:rPr>
                <w:lang w:val="pl-PL"/>
              </w:rPr>
            </w:pPr>
            <w:r w:rsidRPr="00D33A0B">
              <w:rPr>
                <w:lang w:val="pl-PL"/>
              </w:rPr>
              <w:t>518</w:t>
            </w:r>
          </w:p>
        </w:tc>
        <w:tc>
          <w:tcPr>
            <w:tcW w:w="816" w:type="dxa"/>
          </w:tcPr>
          <w:p w:rsidR="009364CB" w:rsidRPr="00D33A0B" w:rsidRDefault="009364CB" w:rsidP="003D3B12">
            <w:pPr>
              <w:jc w:val="right"/>
              <w:rPr>
                <w:lang w:val="pl-PL"/>
              </w:rPr>
            </w:pPr>
            <w:r w:rsidRPr="00D33A0B">
              <w:rPr>
                <w:lang w:val="pl-PL"/>
              </w:rPr>
              <w:t>457</w:t>
            </w:r>
          </w:p>
        </w:tc>
        <w:tc>
          <w:tcPr>
            <w:tcW w:w="1490" w:type="dxa"/>
          </w:tcPr>
          <w:p w:rsidR="009364CB" w:rsidRPr="00D33A0B" w:rsidRDefault="009C36AF" w:rsidP="004D1F76">
            <w:pPr>
              <w:jc w:val="right"/>
              <w:rPr>
                <w:lang w:val="pl-PL"/>
              </w:rPr>
            </w:pPr>
            <w:r w:rsidRPr="00D33A0B">
              <w:rPr>
                <w:lang w:val="pl-PL"/>
              </w:rPr>
              <w:t>113</w:t>
            </w:r>
          </w:p>
        </w:tc>
        <w:tc>
          <w:tcPr>
            <w:tcW w:w="816" w:type="dxa"/>
          </w:tcPr>
          <w:p w:rsidR="009364CB" w:rsidRPr="00D33A0B" w:rsidRDefault="009364CB" w:rsidP="004D1F76">
            <w:pPr>
              <w:jc w:val="right"/>
              <w:rPr>
                <w:lang w:val="pl-PL"/>
              </w:rPr>
            </w:pPr>
            <w:r w:rsidRPr="00D33A0B">
              <w:rPr>
                <w:lang w:val="pl-PL"/>
              </w:rPr>
              <w:t>3521</w:t>
            </w:r>
          </w:p>
        </w:tc>
        <w:tc>
          <w:tcPr>
            <w:tcW w:w="816" w:type="dxa"/>
          </w:tcPr>
          <w:p w:rsidR="009364CB" w:rsidRPr="00D33A0B" w:rsidRDefault="009364CB" w:rsidP="003D3B12">
            <w:pPr>
              <w:jc w:val="right"/>
              <w:rPr>
                <w:lang w:val="pl-PL"/>
              </w:rPr>
            </w:pPr>
            <w:r w:rsidRPr="00D33A0B">
              <w:rPr>
                <w:lang w:val="pl-PL"/>
              </w:rPr>
              <w:t>3.041</w:t>
            </w:r>
          </w:p>
        </w:tc>
        <w:tc>
          <w:tcPr>
            <w:tcW w:w="1453" w:type="dxa"/>
          </w:tcPr>
          <w:p w:rsidR="009364CB" w:rsidRPr="00D33A0B" w:rsidRDefault="009364CB" w:rsidP="004D1F76">
            <w:pPr>
              <w:jc w:val="right"/>
              <w:rPr>
                <w:lang w:val="pl-PL"/>
              </w:rPr>
            </w:pPr>
            <w:r w:rsidRPr="00D33A0B">
              <w:rPr>
                <w:lang w:val="pl-PL"/>
              </w:rPr>
              <w:t>116</w:t>
            </w:r>
          </w:p>
        </w:tc>
      </w:tr>
      <w:tr w:rsidR="009364CB" w:rsidRPr="00D33A0B" w:rsidTr="004D1F76">
        <w:tc>
          <w:tcPr>
            <w:tcW w:w="1668" w:type="dxa"/>
            <w:shd w:val="clear" w:color="auto" w:fill="A6A6A6" w:themeFill="background1" w:themeFillShade="A6"/>
          </w:tcPr>
          <w:p w:rsidR="009364CB" w:rsidRPr="00D33A0B" w:rsidRDefault="009364CB" w:rsidP="004D1F76">
            <w:pPr>
              <w:jc w:val="both"/>
              <w:rPr>
                <w:b/>
                <w:lang w:val="pl-PL"/>
              </w:rPr>
            </w:pPr>
            <w:r w:rsidRPr="00D33A0B">
              <w:rPr>
                <w:b/>
                <w:lang w:val="pl-PL"/>
              </w:rPr>
              <w:t>Ukupno:</w:t>
            </w:r>
          </w:p>
        </w:tc>
        <w:tc>
          <w:tcPr>
            <w:tcW w:w="816" w:type="dxa"/>
            <w:shd w:val="clear" w:color="auto" w:fill="A6A6A6" w:themeFill="background1" w:themeFillShade="A6"/>
          </w:tcPr>
          <w:p w:rsidR="009364CB" w:rsidRPr="00D33A0B" w:rsidRDefault="009364CB" w:rsidP="004D1F76">
            <w:pPr>
              <w:jc w:val="right"/>
              <w:rPr>
                <w:b/>
                <w:lang w:val="pl-PL"/>
              </w:rPr>
            </w:pPr>
            <w:r w:rsidRPr="00D33A0B">
              <w:rPr>
                <w:b/>
                <w:lang w:val="pl-PL"/>
              </w:rPr>
              <w:t>1.278</w:t>
            </w:r>
          </w:p>
        </w:tc>
        <w:tc>
          <w:tcPr>
            <w:tcW w:w="816" w:type="dxa"/>
            <w:shd w:val="clear" w:color="auto" w:fill="A6A6A6" w:themeFill="background1" w:themeFillShade="A6"/>
          </w:tcPr>
          <w:p w:rsidR="009364CB" w:rsidRPr="00D33A0B" w:rsidRDefault="009364CB" w:rsidP="004D1F76">
            <w:pPr>
              <w:jc w:val="right"/>
              <w:rPr>
                <w:b/>
                <w:lang w:val="pl-PL"/>
              </w:rPr>
            </w:pPr>
            <w:r w:rsidRPr="00D33A0B">
              <w:rPr>
                <w:b/>
                <w:lang w:val="pl-PL"/>
              </w:rPr>
              <w:t>1.200</w:t>
            </w:r>
          </w:p>
        </w:tc>
        <w:tc>
          <w:tcPr>
            <w:tcW w:w="1490" w:type="dxa"/>
            <w:shd w:val="clear" w:color="auto" w:fill="A6A6A6" w:themeFill="background1" w:themeFillShade="A6"/>
          </w:tcPr>
          <w:p w:rsidR="009364CB" w:rsidRPr="00D33A0B" w:rsidRDefault="009C36AF" w:rsidP="004D1F76">
            <w:pPr>
              <w:jc w:val="right"/>
              <w:rPr>
                <w:b/>
                <w:lang w:val="pl-PL"/>
              </w:rPr>
            </w:pPr>
            <w:r w:rsidRPr="00D33A0B">
              <w:rPr>
                <w:b/>
                <w:lang w:val="pl-PL"/>
              </w:rPr>
              <w:t>107</w:t>
            </w:r>
          </w:p>
        </w:tc>
        <w:tc>
          <w:tcPr>
            <w:tcW w:w="816" w:type="dxa"/>
            <w:shd w:val="clear" w:color="auto" w:fill="A6A6A6" w:themeFill="background1" w:themeFillShade="A6"/>
          </w:tcPr>
          <w:p w:rsidR="009364CB" w:rsidRPr="00D33A0B" w:rsidRDefault="009364CB" w:rsidP="004D1F76">
            <w:pPr>
              <w:jc w:val="right"/>
              <w:rPr>
                <w:b/>
                <w:lang w:val="pl-PL"/>
              </w:rPr>
            </w:pPr>
            <w:r w:rsidRPr="00D33A0B">
              <w:rPr>
                <w:b/>
                <w:lang w:val="pl-PL"/>
              </w:rPr>
              <w:t>7.287</w:t>
            </w:r>
          </w:p>
        </w:tc>
        <w:tc>
          <w:tcPr>
            <w:tcW w:w="816" w:type="dxa"/>
            <w:shd w:val="clear" w:color="auto" w:fill="A6A6A6" w:themeFill="background1" w:themeFillShade="A6"/>
          </w:tcPr>
          <w:p w:rsidR="009364CB" w:rsidRPr="00D33A0B" w:rsidRDefault="009364CB" w:rsidP="003D3B12">
            <w:pPr>
              <w:jc w:val="right"/>
              <w:rPr>
                <w:b/>
                <w:lang w:val="pl-PL"/>
              </w:rPr>
            </w:pPr>
            <w:r w:rsidRPr="00D33A0B">
              <w:rPr>
                <w:b/>
                <w:lang w:val="pl-PL"/>
              </w:rPr>
              <w:t>7.797</w:t>
            </w:r>
          </w:p>
        </w:tc>
        <w:tc>
          <w:tcPr>
            <w:tcW w:w="1453" w:type="dxa"/>
            <w:shd w:val="clear" w:color="auto" w:fill="A6A6A6" w:themeFill="background1" w:themeFillShade="A6"/>
          </w:tcPr>
          <w:p w:rsidR="009364CB" w:rsidRPr="00D33A0B" w:rsidRDefault="009364CB" w:rsidP="004D1F76">
            <w:pPr>
              <w:jc w:val="right"/>
              <w:rPr>
                <w:b/>
                <w:lang w:val="pl-PL"/>
              </w:rPr>
            </w:pPr>
            <w:r w:rsidRPr="00D33A0B">
              <w:rPr>
                <w:b/>
                <w:lang w:val="pl-PL"/>
              </w:rPr>
              <w:t>93</w:t>
            </w:r>
          </w:p>
        </w:tc>
      </w:tr>
    </w:tbl>
    <w:p w:rsidR="00E5449B" w:rsidRPr="00D33A0B" w:rsidRDefault="00E5449B" w:rsidP="00E5449B">
      <w:pPr>
        <w:jc w:val="both"/>
        <w:rPr>
          <w:lang w:val="pl-PL"/>
        </w:rPr>
      </w:pPr>
    </w:p>
    <w:p w:rsidR="00E5449B" w:rsidRPr="00D33A0B" w:rsidRDefault="00E5449B" w:rsidP="00E5449B">
      <w:pPr>
        <w:jc w:val="both"/>
        <w:rPr>
          <w:lang w:val="pl-PL"/>
        </w:rPr>
      </w:pPr>
    </w:p>
    <w:p w:rsidR="00E5449B" w:rsidRPr="00D33A0B" w:rsidRDefault="00E5449B" w:rsidP="00E5449B">
      <w:pPr>
        <w:jc w:val="both"/>
        <w:rPr>
          <w:sz w:val="28"/>
          <w:szCs w:val="28"/>
          <w:u w:val="single"/>
          <w:lang w:val="pl-PL"/>
        </w:rPr>
      </w:pPr>
      <w:r w:rsidRPr="00D33A0B">
        <w:rPr>
          <w:b/>
          <w:sz w:val="28"/>
          <w:szCs w:val="28"/>
          <w:u w:val="single"/>
          <w:lang w:val="pl-PL"/>
        </w:rPr>
        <w:t>PORTO MONTENEGRO</w:t>
      </w:r>
    </w:p>
    <w:p w:rsidR="005D6FE4" w:rsidRPr="00D33A0B" w:rsidRDefault="005D6FE4" w:rsidP="005D6FE4">
      <w:pPr>
        <w:pStyle w:val="NoSpacing"/>
        <w:jc w:val="both"/>
        <w:rPr>
          <w:rFonts w:ascii="Times New Roman" w:eastAsia="Calibri" w:hAnsi="Times New Roman"/>
          <w:sz w:val="24"/>
          <w:szCs w:val="24"/>
        </w:rPr>
      </w:pP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Vodeća matična luka za superjahte i luksuzno nautičko naselje Porto Montenegro i ovog ljeta šarmirala je ljubitelje putovanja iz svih krajeva svijeta. Spektakulatni hotel </w:t>
      </w:r>
      <w:r w:rsidRPr="00D33A0B">
        <w:rPr>
          <w:rFonts w:ascii="Times New Roman" w:eastAsia="Calibri" w:hAnsi="Times New Roman"/>
          <w:i/>
          <w:sz w:val="24"/>
          <w:szCs w:val="24"/>
        </w:rPr>
        <w:t>Regent Porto Montenegro</w:t>
      </w:r>
      <w:r w:rsidRPr="00D33A0B">
        <w:rPr>
          <w:rFonts w:ascii="Times New Roman" w:eastAsia="Calibri" w:hAnsi="Times New Roman"/>
          <w:sz w:val="24"/>
          <w:szCs w:val="24"/>
        </w:rPr>
        <w:t xml:space="preserve">, bazenski kompleks Porto Montenegro jaht kluba, noćni klub </w:t>
      </w:r>
      <w:r w:rsidRPr="00D33A0B">
        <w:rPr>
          <w:rFonts w:ascii="Times New Roman" w:eastAsia="Calibri" w:hAnsi="Times New Roman"/>
          <w:i/>
          <w:sz w:val="24"/>
          <w:szCs w:val="24"/>
        </w:rPr>
        <w:t>Platinum</w:t>
      </w:r>
      <w:r w:rsidRPr="00D33A0B">
        <w:rPr>
          <w:rFonts w:ascii="Times New Roman" w:eastAsia="Calibri" w:hAnsi="Times New Roman"/>
          <w:sz w:val="24"/>
          <w:szCs w:val="24"/>
        </w:rPr>
        <w:t>, brojni</w:t>
      </w:r>
      <w:r w:rsidRPr="00D33A0B">
        <w:rPr>
          <w:rFonts w:ascii="Times New Roman" w:eastAsia="Calibri" w:hAnsi="Times New Roman"/>
          <w:i/>
          <w:sz w:val="24"/>
          <w:szCs w:val="24"/>
        </w:rPr>
        <w:t xml:space="preserve"> </w:t>
      </w:r>
      <w:r w:rsidRPr="00D33A0B">
        <w:rPr>
          <w:rFonts w:ascii="Times New Roman" w:eastAsia="Calibri" w:hAnsi="Times New Roman"/>
          <w:sz w:val="24"/>
          <w:szCs w:val="24"/>
        </w:rPr>
        <w:t xml:space="preserve">događaji, regate, svojevrsni </w:t>
      </w:r>
      <w:r w:rsidRPr="00D33A0B">
        <w:rPr>
          <w:rFonts w:ascii="Times New Roman" w:eastAsia="Calibri" w:hAnsi="Times New Roman"/>
          <w:i/>
          <w:sz w:val="24"/>
          <w:szCs w:val="24"/>
        </w:rPr>
        <w:t>art-punktovi</w:t>
      </w:r>
      <w:r w:rsidRPr="00D33A0B">
        <w:rPr>
          <w:rFonts w:ascii="Times New Roman" w:eastAsia="Calibri" w:hAnsi="Times New Roman"/>
          <w:sz w:val="24"/>
          <w:szCs w:val="24"/>
        </w:rPr>
        <w:t xml:space="preserve"> u promenadi naselja, kreiraju upečatljiv identitet mondenske tivatske marine kao najuzbudljivije šik destinacije na crnogorskoj na obali.   </w:t>
      </w:r>
    </w:p>
    <w:p w:rsidR="005D6FE4" w:rsidRPr="00D33A0B" w:rsidRDefault="005D6FE4" w:rsidP="005D6FE4">
      <w:pPr>
        <w:pStyle w:val="NoSpacing"/>
        <w:jc w:val="both"/>
        <w:rPr>
          <w:rFonts w:ascii="Times New Roman" w:eastAsia="Cambria" w:hAnsi="Times New Roman"/>
          <w:spacing w:val="4"/>
          <w:sz w:val="24"/>
          <w:szCs w:val="24"/>
        </w:rPr>
      </w:pPr>
      <w:r w:rsidRPr="00D33A0B">
        <w:rPr>
          <w:rFonts w:ascii="Times New Roman" w:eastAsia="Cambria" w:hAnsi="Times New Roman"/>
          <w:b/>
          <w:spacing w:val="4"/>
          <w:sz w:val="24"/>
          <w:szCs w:val="24"/>
        </w:rPr>
        <w:t>Marina,</w:t>
      </w:r>
      <w:r w:rsidRPr="00D33A0B">
        <w:rPr>
          <w:rFonts w:ascii="Times New Roman" w:eastAsia="Cambria" w:hAnsi="Times New Roman"/>
          <w:spacing w:val="4"/>
          <w:sz w:val="24"/>
          <w:szCs w:val="24"/>
        </w:rPr>
        <w:t xml:space="preserve"> sa svojih 450 vezova, od kojih 150 vezova za superjahte do 250m, bilježi odličnu popunjenost tokom cijele godine, i uživa povjerenje kapetana i vlasnika brodova kao matična luka jer nudi najmodernije vezove, ali i posjećenost onih plovila koja samo krstare vodama Crne Gore. Ovog ljeta, popunjenost nije padala ispod 80% raspolozivih kapaciteta, a najveci broj jahti plovilo je pod zastavom Italije, Malte, Velike Britanije, SAD-a. </w:t>
      </w:r>
    </w:p>
    <w:p w:rsidR="005D6FE4" w:rsidRPr="00D33A0B" w:rsidRDefault="005D6FE4" w:rsidP="005D6FE4">
      <w:pPr>
        <w:pStyle w:val="NoSpacing"/>
        <w:jc w:val="both"/>
        <w:rPr>
          <w:rFonts w:ascii="Times New Roman" w:eastAsia="Cambria" w:hAnsi="Times New Roman"/>
          <w:spacing w:val="4"/>
          <w:sz w:val="24"/>
          <w:szCs w:val="24"/>
        </w:rPr>
      </w:pPr>
      <w:r w:rsidRPr="00D33A0B">
        <w:rPr>
          <w:rFonts w:ascii="Times New Roman" w:eastAsia="Cambria" w:hAnsi="Times New Roman"/>
          <w:spacing w:val="4"/>
          <w:sz w:val="24"/>
          <w:szCs w:val="24"/>
        </w:rPr>
        <w:t xml:space="preserve">Sadržaj marine obuhvata i predstavništva brojnih </w:t>
      </w:r>
      <w:r w:rsidRPr="00D33A0B">
        <w:rPr>
          <w:rFonts w:ascii="Times New Roman" w:eastAsia="Cambria" w:hAnsi="Times New Roman"/>
          <w:i/>
          <w:spacing w:val="4"/>
          <w:sz w:val="24"/>
          <w:szCs w:val="24"/>
        </w:rPr>
        <w:t>yachting</w:t>
      </w:r>
      <w:r w:rsidRPr="00D33A0B">
        <w:rPr>
          <w:rFonts w:ascii="Times New Roman" w:eastAsia="Cambria" w:hAnsi="Times New Roman"/>
          <w:spacing w:val="4"/>
          <w:sz w:val="24"/>
          <w:szCs w:val="24"/>
        </w:rPr>
        <w:t xml:space="preserve"> agencija, ali i prodavnice nautičke opreme koja pruža sveobuhvatnu logističku i sigurnosnu podršku plovilima u marini, obezbjeđujući potrebne djelove za brodove, dok </w:t>
      </w:r>
      <w:r w:rsidRPr="00D33A0B">
        <w:rPr>
          <w:rFonts w:ascii="Times New Roman" w:eastAsia="Cambria" w:hAnsi="Times New Roman"/>
          <w:i/>
          <w:spacing w:val="4"/>
          <w:sz w:val="24"/>
          <w:szCs w:val="24"/>
        </w:rPr>
        <w:t>Porto Montenegro Jahting Klub</w:t>
      </w:r>
      <w:r w:rsidRPr="00D33A0B">
        <w:rPr>
          <w:rFonts w:ascii="Times New Roman" w:eastAsia="Cambria" w:hAnsi="Times New Roman"/>
          <w:spacing w:val="4"/>
          <w:sz w:val="24"/>
          <w:szCs w:val="24"/>
        </w:rPr>
        <w:t xml:space="preserve"> organizuje niz,regata, brodskih trka i školu jedrenja. </w:t>
      </w:r>
    </w:p>
    <w:p w:rsidR="005D6FE4" w:rsidRPr="00D33A0B" w:rsidRDefault="005D6FE4" w:rsidP="005D6FE4">
      <w:pPr>
        <w:pStyle w:val="NoSpacing"/>
        <w:jc w:val="both"/>
        <w:rPr>
          <w:rFonts w:ascii="Times New Roman" w:eastAsia="Cambria" w:hAnsi="Times New Roman"/>
          <w:spacing w:val="4"/>
          <w:sz w:val="24"/>
          <w:szCs w:val="24"/>
        </w:rPr>
      </w:pPr>
      <w:r w:rsidRPr="00D33A0B">
        <w:rPr>
          <w:rFonts w:ascii="Times New Roman" w:eastAsia="Cambria" w:hAnsi="Times New Roman"/>
          <w:spacing w:val="4"/>
          <w:sz w:val="24"/>
          <w:szCs w:val="24"/>
        </w:rPr>
        <w:t xml:space="preserve">Ključni nautički događaj Myba Pop-up Superyacht Show, obilježio je tri vodeća mjeseca u ljetnjoj nautičkoj sezoni u marini. Drugo izdanje eskluzivnog nautičkog događaja </w:t>
      </w:r>
      <w:r w:rsidRPr="00D33A0B">
        <w:rPr>
          <w:rFonts w:ascii="Times New Roman" w:eastAsia="Cambria" w:hAnsi="Times New Roman"/>
          <w:i/>
          <w:spacing w:val="4"/>
          <w:sz w:val="24"/>
          <w:szCs w:val="24"/>
        </w:rPr>
        <w:t>MYBA Pop-Up Superyacht Show</w:t>
      </w:r>
      <w:r w:rsidRPr="00D33A0B">
        <w:rPr>
          <w:rFonts w:ascii="Times New Roman" w:eastAsia="Cambria" w:hAnsi="Times New Roman"/>
          <w:spacing w:val="4"/>
          <w:sz w:val="24"/>
          <w:szCs w:val="24"/>
        </w:rPr>
        <w:t xml:space="preserve"> u Porto Montenegru, okupilo je 22 superjahte dužine između 24 i 58 metara, te preko 120 brokera, kapetana, agenata, zastupnika i predstavnika jahting industrije iz cijelog svijeta, koji su stigli u Boku Kotorsku s namjerom da istraže sve šanse i prednosti ovog područja za razvoj industrije čarterovanja jahti. </w:t>
      </w:r>
    </w:p>
    <w:p w:rsidR="005D6FE4" w:rsidRPr="00D33A0B" w:rsidRDefault="005D6FE4" w:rsidP="005D6FE4">
      <w:pPr>
        <w:pStyle w:val="NoSpacing"/>
        <w:jc w:val="both"/>
        <w:rPr>
          <w:rFonts w:ascii="Times New Roman" w:eastAsia="Cambria" w:hAnsi="Times New Roman"/>
          <w:spacing w:val="4"/>
          <w:sz w:val="24"/>
          <w:szCs w:val="24"/>
        </w:rPr>
      </w:pPr>
      <w:r w:rsidRPr="00D33A0B">
        <w:rPr>
          <w:rFonts w:ascii="Times New Roman" w:eastAsia="Cambria" w:hAnsi="Times New Roman"/>
          <w:spacing w:val="4"/>
          <w:sz w:val="24"/>
          <w:szCs w:val="24"/>
        </w:rPr>
        <w:t xml:space="preserve">Na impresivnoj listi posjetilaca ovog događaja, koji je tokom prethodna tri dana svrstao Porto Montenegro u „svjetsku nautičku pozornicu i komunikacionu platformu za brokere“, nalaze se najpoznatija imena svjetske jahting i čarter industrije poput kompanija </w:t>
      </w:r>
      <w:r w:rsidRPr="00D33A0B">
        <w:rPr>
          <w:rFonts w:ascii="Times New Roman" w:eastAsia="Cambria" w:hAnsi="Times New Roman"/>
          <w:i/>
          <w:spacing w:val="4"/>
          <w:sz w:val="24"/>
          <w:szCs w:val="24"/>
        </w:rPr>
        <w:t xml:space="preserve">Fraser, Burgess, Ocean Independence, Northrop &amp; Johnson, CharterWorld, Camper &amp; Nicholson, YCO, IYC, Bluewater, CSO Yachts </w:t>
      </w:r>
      <w:r w:rsidRPr="00D33A0B">
        <w:rPr>
          <w:rFonts w:ascii="Times New Roman" w:eastAsia="Cambria" w:hAnsi="Times New Roman"/>
          <w:spacing w:val="4"/>
          <w:sz w:val="24"/>
          <w:szCs w:val="24"/>
        </w:rPr>
        <w:t xml:space="preserve">i </w:t>
      </w:r>
      <w:r w:rsidRPr="00D33A0B">
        <w:rPr>
          <w:rFonts w:ascii="Times New Roman" w:eastAsia="Cambria" w:hAnsi="Times New Roman"/>
          <w:i/>
          <w:spacing w:val="4"/>
          <w:sz w:val="24"/>
          <w:szCs w:val="24"/>
        </w:rPr>
        <w:t>Edmiston</w:t>
      </w:r>
      <w:r w:rsidRPr="00D33A0B">
        <w:rPr>
          <w:rFonts w:ascii="Times New Roman" w:eastAsia="Cambria" w:hAnsi="Times New Roman"/>
          <w:spacing w:val="4"/>
          <w:sz w:val="24"/>
          <w:szCs w:val="24"/>
        </w:rPr>
        <w:t xml:space="preserve">.  </w:t>
      </w:r>
    </w:p>
    <w:p w:rsidR="005D6FE4" w:rsidRPr="00D33A0B" w:rsidRDefault="005D6FE4" w:rsidP="005D6FE4">
      <w:pPr>
        <w:pStyle w:val="NoSpacing"/>
        <w:jc w:val="both"/>
        <w:rPr>
          <w:rFonts w:ascii="Times New Roman" w:eastAsia="Cambria" w:hAnsi="Times New Roman"/>
          <w:spacing w:val="4"/>
          <w:sz w:val="24"/>
          <w:szCs w:val="24"/>
        </w:rPr>
      </w:pPr>
      <w:r w:rsidRPr="00D33A0B">
        <w:rPr>
          <w:rFonts w:ascii="Times New Roman" w:eastAsia="Cambria" w:hAnsi="Times New Roman"/>
          <w:spacing w:val="4"/>
          <w:sz w:val="24"/>
          <w:szCs w:val="24"/>
          <w:lang w:val="hr-HR"/>
        </w:rPr>
        <w:t xml:space="preserve">Novi  </w:t>
      </w:r>
      <w:r w:rsidRPr="00D33A0B">
        <w:rPr>
          <w:rFonts w:ascii="Times New Roman" w:eastAsia="Cambria" w:hAnsi="Times New Roman"/>
          <w:i/>
          <w:spacing w:val="4"/>
          <w:sz w:val="24"/>
          <w:szCs w:val="24"/>
          <w:lang w:val="hr-HR"/>
        </w:rPr>
        <w:t>B2B</w:t>
      </w:r>
      <w:r w:rsidRPr="00D33A0B">
        <w:rPr>
          <w:rFonts w:ascii="Times New Roman" w:eastAsia="Cambria" w:hAnsi="Times New Roman"/>
          <w:spacing w:val="4"/>
          <w:sz w:val="24"/>
          <w:szCs w:val="24"/>
          <w:lang w:val="hr-HR"/>
        </w:rPr>
        <w:t xml:space="preserve"> nautički događaj MYBA-u</w:t>
      </w:r>
      <w:r w:rsidRPr="00D33A0B">
        <w:rPr>
          <w:rFonts w:ascii="Times New Roman" w:eastAsia="Cambria" w:hAnsi="Times New Roman"/>
          <w:spacing w:val="4"/>
          <w:sz w:val="24"/>
          <w:szCs w:val="24"/>
        </w:rPr>
        <w:t xml:space="preserve"> organizovali su nautički centar Porto Montenegro i prestižna međunarodna asocijacija jahting brokera MYBA, sa namjerom da stručnoj javnosti predstave sve prednosti ovog područja za razvoj industrije čarterovanja jahti. Na impozantnoj nautičkoj promenadi na mulu 1 u Porto Montenegru našle su se superjahte </w:t>
      </w:r>
      <w:r w:rsidRPr="00D33A0B">
        <w:rPr>
          <w:rFonts w:ascii="Times New Roman" w:eastAsia="Cambria" w:hAnsi="Times New Roman"/>
          <w:i/>
          <w:spacing w:val="4"/>
          <w:sz w:val="24"/>
          <w:szCs w:val="24"/>
        </w:rPr>
        <w:t xml:space="preserve">Lord of the Seas </w:t>
      </w:r>
      <w:r w:rsidRPr="00D33A0B">
        <w:rPr>
          <w:rFonts w:ascii="Times New Roman" w:eastAsia="Cambria" w:hAnsi="Times New Roman"/>
          <w:spacing w:val="4"/>
          <w:sz w:val="24"/>
          <w:szCs w:val="24"/>
        </w:rPr>
        <w:t xml:space="preserve">(58m), JoyMe (49,91m), </w:t>
      </w:r>
      <w:r w:rsidRPr="00D33A0B">
        <w:rPr>
          <w:rFonts w:ascii="Times New Roman" w:eastAsia="Cambria" w:hAnsi="Times New Roman"/>
          <w:i/>
          <w:spacing w:val="4"/>
          <w:sz w:val="24"/>
          <w:szCs w:val="24"/>
        </w:rPr>
        <w:t xml:space="preserve">Reve D’Or </w:t>
      </w:r>
      <w:r w:rsidRPr="00D33A0B">
        <w:rPr>
          <w:rFonts w:ascii="Times New Roman" w:eastAsia="Cambria" w:hAnsi="Times New Roman"/>
          <w:spacing w:val="4"/>
          <w:sz w:val="24"/>
          <w:szCs w:val="24"/>
        </w:rPr>
        <w:t>(46m),</w:t>
      </w:r>
      <w:r w:rsidRPr="00D33A0B">
        <w:rPr>
          <w:rFonts w:ascii="Times New Roman" w:eastAsia="Cambria" w:hAnsi="Times New Roman"/>
          <w:i/>
          <w:spacing w:val="4"/>
          <w:sz w:val="24"/>
          <w:szCs w:val="24"/>
        </w:rPr>
        <w:t xml:space="preserve"> Daima </w:t>
      </w:r>
      <w:r w:rsidRPr="00D33A0B">
        <w:rPr>
          <w:rFonts w:ascii="Times New Roman" w:eastAsia="Cambria" w:hAnsi="Times New Roman"/>
          <w:spacing w:val="4"/>
          <w:sz w:val="24"/>
          <w:szCs w:val="24"/>
        </w:rPr>
        <w:t xml:space="preserve">(42,5m). </w:t>
      </w:r>
    </w:p>
    <w:p w:rsidR="005D6FE4" w:rsidRPr="00D33A0B" w:rsidRDefault="005D6FE4" w:rsidP="005D6FE4">
      <w:pPr>
        <w:pStyle w:val="NoSpacing"/>
        <w:jc w:val="both"/>
        <w:rPr>
          <w:rFonts w:ascii="Times New Roman" w:eastAsia="Cambria" w:hAnsi="Times New Roman"/>
          <w:spacing w:val="4"/>
          <w:sz w:val="24"/>
          <w:szCs w:val="24"/>
        </w:rPr>
      </w:pPr>
      <w:r w:rsidRPr="00D33A0B">
        <w:rPr>
          <w:rFonts w:ascii="Times New Roman" w:eastAsia="Cambria" w:hAnsi="Times New Roman"/>
          <w:spacing w:val="4"/>
          <w:sz w:val="24"/>
          <w:szCs w:val="24"/>
        </w:rPr>
        <w:t xml:space="preserve">Superjaht marina Porto Montenegro predvodi listu deset novih ekskluzivnih svjetskih marina koju je sačinio uticajni međunarodni portal </w:t>
      </w:r>
      <w:r w:rsidRPr="00D33A0B">
        <w:rPr>
          <w:rFonts w:ascii="Times New Roman" w:eastAsia="Cambria" w:hAnsi="Times New Roman"/>
          <w:i/>
          <w:spacing w:val="4"/>
          <w:sz w:val="24"/>
          <w:szCs w:val="24"/>
        </w:rPr>
        <w:t>Yachting Pages</w:t>
      </w:r>
      <w:r w:rsidRPr="00D33A0B">
        <w:rPr>
          <w:rFonts w:ascii="Times New Roman" w:eastAsia="Cambria" w:hAnsi="Times New Roman"/>
          <w:spacing w:val="4"/>
          <w:sz w:val="24"/>
          <w:szCs w:val="24"/>
        </w:rPr>
        <w:t xml:space="preserve"> –  činjenica da nakon okončane izgradnje druge faze marine, Porto Montenegro na vez može prihvatiti i najveće jahte na svijetu, dužine čak do 250 metara, pokazuje konkurentnost Crne Gore etabliranim mediteranskim šik </w:t>
      </w:r>
      <w:r w:rsidRPr="00D33A0B">
        <w:rPr>
          <w:rFonts w:ascii="Times New Roman" w:eastAsia="Cambria" w:hAnsi="Times New Roman"/>
          <w:spacing w:val="4"/>
          <w:sz w:val="24"/>
          <w:szCs w:val="24"/>
        </w:rPr>
        <w:lastRenderedPageBreak/>
        <w:t xml:space="preserve">marinama poput italijanskog Porto Cerva ili španskog Puerto Banusa. Na impresivnoj listi posjetilaca druge edicije </w:t>
      </w:r>
      <w:r w:rsidRPr="00D33A0B">
        <w:rPr>
          <w:rFonts w:ascii="Times New Roman" w:eastAsia="Cambria" w:hAnsi="Times New Roman"/>
          <w:i/>
          <w:spacing w:val="4"/>
          <w:sz w:val="24"/>
          <w:szCs w:val="24"/>
        </w:rPr>
        <w:t>Myba Pop-Up Superyacht</w:t>
      </w:r>
      <w:r w:rsidRPr="00D33A0B">
        <w:rPr>
          <w:rFonts w:ascii="Times New Roman" w:eastAsia="Cambria" w:hAnsi="Times New Roman"/>
          <w:spacing w:val="4"/>
          <w:sz w:val="24"/>
          <w:szCs w:val="24"/>
        </w:rPr>
        <w:t xml:space="preserve"> događaja, od 2. do 4. septembra, koji je svrstao Porto Montenegro u „svjetsku nautičku pozornicu i komunikacionu platformu za brokere“, naći će se najpoznatija imena svjetske jahting i čarter industrije.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PMYC Članovi </w:t>
      </w:r>
      <w:r w:rsidRPr="00D33A0B">
        <w:rPr>
          <w:rFonts w:ascii="Times New Roman" w:eastAsia="Calibri" w:hAnsi="Times New Roman"/>
          <w:i/>
          <w:sz w:val="24"/>
          <w:szCs w:val="24"/>
        </w:rPr>
        <w:t>Porto Montenegro Jahting kluba</w:t>
      </w:r>
      <w:r w:rsidRPr="00D33A0B">
        <w:rPr>
          <w:rFonts w:ascii="Times New Roman" w:eastAsia="Calibri" w:hAnsi="Times New Roman"/>
          <w:sz w:val="24"/>
          <w:szCs w:val="24"/>
        </w:rPr>
        <w:t xml:space="preserve">, svjetska nautička klijentela, rezidenti naselja i njihovi gosti, i ovog ljeta su uživali u PMYC kompleksu čiji je zaštitni znak 64m dug </w:t>
      </w:r>
      <w:r w:rsidRPr="00D33A0B">
        <w:rPr>
          <w:rFonts w:ascii="Times New Roman" w:eastAsia="Calibri" w:hAnsi="Times New Roman"/>
          <w:i/>
          <w:sz w:val="24"/>
          <w:szCs w:val="24"/>
        </w:rPr>
        <w:t>infinity</w:t>
      </w:r>
      <w:r w:rsidRPr="00D33A0B">
        <w:rPr>
          <w:rFonts w:ascii="Times New Roman" w:eastAsia="Calibri" w:hAnsi="Times New Roman"/>
          <w:sz w:val="24"/>
          <w:szCs w:val="24"/>
        </w:rPr>
        <w:t xml:space="preserve"> bazen, sa elegantno postavljenim ležaljkama, plažnim krevetima i baldahinima uz ivice bazena, sa kapacitetima za 188 gostiju. PMYC bazen je ovog ljeta uvršten, od strane renomiranog magazina „Hero &amp; Leander“, na listu najljepših bazena svijeta, pa nije iznenađenje da je ovaj svojevrsni hot-spot, koji se nadnosi nad morem, savršena lokacija za ljubitelje plivanja, dobre usluge i osvježavajućih koktela.</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Uz bazen, svi posjetioci mogu degustirati delicije mediteranske kuhinje na privatnoj terasi namijenjenoj gostima </w:t>
      </w:r>
      <w:r w:rsidRPr="00D33A0B">
        <w:rPr>
          <w:rFonts w:ascii="Times New Roman" w:eastAsia="Calibri" w:hAnsi="Times New Roman"/>
          <w:i/>
          <w:sz w:val="24"/>
          <w:szCs w:val="24"/>
        </w:rPr>
        <w:t>PMYC restorana</w:t>
      </w:r>
      <w:r w:rsidRPr="00D33A0B">
        <w:rPr>
          <w:rFonts w:ascii="Times New Roman" w:eastAsia="Calibri" w:hAnsi="Times New Roman"/>
          <w:sz w:val="24"/>
          <w:szCs w:val="24"/>
        </w:rPr>
        <w:t xml:space="preserve">, i u ekskluzivnom gastro iskustvu na krovu restorana </w:t>
      </w:r>
      <w:r w:rsidRPr="00D33A0B">
        <w:rPr>
          <w:rFonts w:ascii="Times New Roman" w:eastAsia="Calibri" w:hAnsi="Times New Roman"/>
          <w:i/>
          <w:sz w:val="24"/>
          <w:szCs w:val="24"/>
        </w:rPr>
        <w:t xml:space="preserve">De Gustibus </w:t>
      </w:r>
      <w:r w:rsidRPr="00D33A0B">
        <w:rPr>
          <w:rFonts w:ascii="Times New Roman" w:eastAsia="Calibri" w:hAnsi="Times New Roman"/>
          <w:sz w:val="24"/>
          <w:szCs w:val="24"/>
        </w:rPr>
        <w:t xml:space="preserve">- perfektno pozicioniranom, sa pogledom na zalazak sunca iznad bazena. Svježu ribu i morske plodove svakodnevno donose bokeški ribari, a kulinarski specijaliteti se spremanju po lokalnoj recepturi. </w:t>
      </w:r>
    </w:p>
    <w:p w:rsidR="005D6FE4" w:rsidRPr="00D33A0B" w:rsidRDefault="005D6FE4" w:rsidP="005D6FE4">
      <w:pPr>
        <w:pStyle w:val="NoSpacing"/>
        <w:jc w:val="both"/>
        <w:rPr>
          <w:rFonts w:ascii="Times New Roman" w:eastAsia="Calibri" w:hAnsi="Times New Roman"/>
          <w:i/>
          <w:sz w:val="24"/>
          <w:szCs w:val="24"/>
        </w:rPr>
      </w:pPr>
      <w:r w:rsidRPr="00D33A0B">
        <w:rPr>
          <w:rFonts w:ascii="Times New Roman" w:eastAsia="Calibri" w:hAnsi="Times New Roman"/>
          <w:sz w:val="24"/>
          <w:szCs w:val="24"/>
        </w:rPr>
        <w:t xml:space="preserve">Noćni klub </w:t>
      </w:r>
      <w:r w:rsidRPr="00D33A0B">
        <w:rPr>
          <w:rFonts w:ascii="Times New Roman" w:eastAsia="Calibri" w:hAnsi="Times New Roman"/>
          <w:i/>
          <w:sz w:val="24"/>
          <w:szCs w:val="24"/>
        </w:rPr>
        <w:t>Platinum</w:t>
      </w:r>
      <w:r w:rsidRPr="00D33A0B">
        <w:rPr>
          <w:rFonts w:ascii="Times New Roman" w:eastAsia="Calibri" w:hAnsi="Times New Roman"/>
          <w:sz w:val="24"/>
          <w:szCs w:val="24"/>
        </w:rPr>
        <w:t xml:space="preserve">, i ove godine donio je sofisticiranu dimenziju noćnog života i zabave – kao jedini crnogorski član prestižne asocijacije najekskluzivnijih restorana i klubova na svijetu </w:t>
      </w:r>
      <w:r w:rsidRPr="00D33A0B">
        <w:rPr>
          <w:rFonts w:ascii="Times New Roman" w:eastAsia="Calibri" w:hAnsi="Times New Roman"/>
          <w:i/>
          <w:sz w:val="24"/>
          <w:szCs w:val="24"/>
        </w:rPr>
        <w:t xml:space="preserve">The World’s Finest Clubs. </w:t>
      </w:r>
      <w:r w:rsidRPr="00D33A0B">
        <w:rPr>
          <w:rFonts w:ascii="Times New Roman" w:eastAsia="Calibri" w:hAnsi="Times New Roman"/>
          <w:sz w:val="24"/>
          <w:szCs w:val="24"/>
        </w:rPr>
        <w:t>Platinum drugu godinu za redom</w:t>
      </w:r>
      <w:r w:rsidRPr="00D33A0B">
        <w:rPr>
          <w:rFonts w:ascii="Times New Roman" w:eastAsia="Calibri" w:hAnsi="Times New Roman"/>
          <w:i/>
          <w:sz w:val="24"/>
          <w:szCs w:val="24"/>
        </w:rPr>
        <w:t xml:space="preserve"> </w:t>
      </w:r>
      <w:r w:rsidRPr="00D33A0B">
        <w:rPr>
          <w:rFonts w:ascii="Times New Roman" w:eastAsia="Calibri" w:hAnsi="Times New Roman"/>
          <w:sz w:val="24"/>
          <w:szCs w:val="24"/>
        </w:rPr>
        <w:t xml:space="preserve">parira njujorškom clubbing-u, a estetski i produkcijski je u ravni sa diskotekama Ibice ili Kana. Ekskluzivan ambijent je osmišljen kao minimalistički, a karakteriše ga savršeno uklopljen mediteranski šmek konceptualnog kompleksa PMYC-a. </w:t>
      </w:r>
    </w:p>
    <w:p w:rsidR="005D6FE4" w:rsidRPr="00D33A0B" w:rsidRDefault="005D6FE4" w:rsidP="005D6FE4">
      <w:pPr>
        <w:pStyle w:val="NoSpacing"/>
        <w:jc w:val="both"/>
        <w:rPr>
          <w:rFonts w:ascii="Times New Roman" w:hAnsi="Times New Roman"/>
          <w:szCs w:val="24"/>
        </w:rPr>
      </w:pPr>
    </w:p>
    <w:p w:rsidR="005D6FE4" w:rsidRPr="00D33A0B" w:rsidRDefault="005D6FE4" w:rsidP="005D6FE4">
      <w:pPr>
        <w:pStyle w:val="NoSpacing"/>
        <w:jc w:val="both"/>
        <w:rPr>
          <w:rFonts w:ascii="Times New Roman" w:eastAsia="Calibri" w:hAnsi="Times New Roman"/>
          <w:b/>
          <w:sz w:val="24"/>
          <w:szCs w:val="24"/>
        </w:rPr>
      </w:pPr>
      <w:r w:rsidRPr="00D33A0B">
        <w:rPr>
          <w:rFonts w:ascii="Times New Roman" w:eastAsia="Calibri" w:hAnsi="Times New Roman"/>
          <w:b/>
          <w:sz w:val="24"/>
          <w:szCs w:val="24"/>
        </w:rPr>
        <w:t xml:space="preserve">Nautičko naselje </w:t>
      </w:r>
    </w:p>
    <w:p w:rsidR="005D6FE4" w:rsidRPr="00D33A0B" w:rsidRDefault="005D6FE4" w:rsidP="005D6FE4">
      <w:pPr>
        <w:pStyle w:val="NoSpacing"/>
        <w:jc w:val="both"/>
        <w:rPr>
          <w:rFonts w:ascii="Times New Roman" w:eastAsia="Calibri" w:hAnsi="Times New Roman"/>
          <w:i/>
          <w:sz w:val="24"/>
          <w:szCs w:val="24"/>
        </w:rPr>
      </w:pPr>
      <w:r w:rsidRPr="00D33A0B">
        <w:rPr>
          <w:rFonts w:ascii="Times New Roman" w:eastAsia="Calibri" w:hAnsi="Times New Roman"/>
          <w:i/>
          <w:sz w:val="24"/>
          <w:szCs w:val="24"/>
        </w:rPr>
        <w:t>Početak izgradnje hotelske rezidencije  Regent Pool Cub Residences</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bCs/>
          <w:sz w:val="24"/>
          <w:szCs w:val="24"/>
        </w:rPr>
        <w:t xml:space="preserve">Nakon uspjeha koji je postigao hotel Regent Porto Montenegro koji je otvoren prošle godine i završene rezidencijalno-poslovne zgrade Ksenija u junu mjesecu 2015, kompanija Adriatic Marinas počela u decembru prošle godine izgradnju rezidencijalnog kompleksa Regent Pool Club, koji će se nalaziti neposredno uz hotel Regent, sa </w:t>
      </w:r>
      <w:r w:rsidRPr="00D33A0B">
        <w:rPr>
          <w:rFonts w:ascii="Times New Roman" w:eastAsia="Calibri" w:hAnsi="Times New Roman"/>
          <w:sz w:val="24"/>
          <w:szCs w:val="24"/>
        </w:rPr>
        <w:t>modernim šik jednosobnim, dv</w:t>
      </w:r>
      <w:r w:rsidRPr="00D33A0B">
        <w:rPr>
          <w:rFonts w:ascii="Times New Roman" w:hAnsi="Times New Roman"/>
          <w:szCs w:val="24"/>
        </w:rPr>
        <w:t xml:space="preserve">osobnim i trosobnim stanovima. </w:t>
      </w:r>
      <w:r w:rsidRPr="00D33A0B">
        <w:rPr>
          <w:rFonts w:ascii="Times New Roman" w:eastAsia="Calibri" w:hAnsi="Times New Roman"/>
          <w:sz w:val="24"/>
          <w:szCs w:val="24"/>
        </w:rPr>
        <w:t xml:space="preserve">Rezidenti će moći da uživaju u privatnom baštenskom kompleksu, kao i tri bazena - </w:t>
      </w:r>
      <w:r w:rsidRPr="00D33A0B">
        <w:rPr>
          <w:rFonts w:ascii="Times New Roman" w:eastAsia="Calibri" w:hAnsi="Times New Roman"/>
          <w:i/>
          <w:sz w:val="24"/>
          <w:szCs w:val="24"/>
        </w:rPr>
        <w:t xml:space="preserve">in_nity </w:t>
      </w:r>
      <w:r w:rsidRPr="00D33A0B">
        <w:rPr>
          <w:rFonts w:ascii="Times New Roman" w:hAnsi="Times New Roman"/>
          <w:szCs w:val="24"/>
        </w:rPr>
        <w:t>bazenu, klasič</w:t>
      </w:r>
      <w:r w:rsidRPr="00D33A0B">
        <w:rPr>
          <w:rFonts w:ascii="Times New Roman" w:eastAsia="Calibri" w:hAnsi="Times New Roman"/>
          <w:sz w:val="24"/>
          <w:szCs w:val="24"/>
        </w:rPr>
        <w:t xml:space="preserve">nom i bazenu za djecu. Klasični 25-metarski bazen imace opciju zagrijavanja, tako da će omogućiti uživanje i plivanje tokom cijele godine. Rezidencijalne usluge biće na najvišem nivou kvaliteta i pogodnosti kakve nudi i hotel </w:t>
      </w:r>
      <w:r w:rsidRPr="00D33A0B">
        <w:rPr>
          <w:rFonts w:ascii="Times New Roman" w:eastAsia="Calibri" w:hAnsi="Times New Roman"/>
          <w:i/>
          <w:sz w:val="24"/>
          <w:szCs w:val="24"/>
        </w:rPr>
        <w:t xml:space="preserve">Regent </w:t>
      </w:r>
      <w:r w:rsidRPr="00D33A0B">
        <w:rPr>
          <w:rFonts w:ascii="Times New Roman" w:eastAsia="Calibri" w:hAnsi="Times New Roman"/>
          <w:sz w:val="24"/>
          <w:szCs w:val="24"/>
        </w:rPr>
        <w:t xml:space="preserve">sa pet zvjezdica – menadžment će voditi brigu o održavanju stanova, prema zahtjevima vlasnika. Rezidenti će biti članovi </w:t>
      </w:r>
      <w:r w:rsidRPr="00D33A0B">
        <w:rPr>
          <w:rFonts w:ascii="Times New Roman" w:eastAsia="Calibri" w:hAnsi="Times New Roman"/>
          <w:i/>
          <w:sz w:val="24"/>
          <w:szCs w:val="24"/>
        </w:rPr>
        <w:t>PM Kluba vlasnika</w:t>
      </w:r>
      <w:r w:rsidRPr="00D33A0B">
        <w:rPr>
          <w:rFonts w:ascii="Times New Roman" w:eastAsia="Calibri" w:hAnsi="Times New Roman"/>
          <w:sz w:val="24"/>
          <w:szCs w:val="24"/>
        </w:rPr>
        <w:t>, i uživace u svim beneficijama - dostupnost konsijerž usluge 24 sata, obezbjeđen parking, dostupna usluga dizajna i opremanja enterijera.  Nova zgrada imaće ukupno 62 stana, od 74 do 344 kvadratna metra.</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Ove godine, više nego ikada do sada, Porto Montenegro ponudio je veliki izbor različitih gastronomskih iskustava koje mogu zadovoljiti i najistančanije ukluse. Tu su delicije internacionalne ili autentične tradicionalne kuhinje Mediterana, koje posjetioci mogu degustirati u jednom od četiri restorana u naselju. Uživajte u jednom od provjerenih i sada već kultnih restorana – Al Posto Giusto, koji je svojom prepoznatljivom rustičnošću postao omiljeno mjesto za užitak u italijanskim specijalitetima, ali i selfijima; One koji nudi najbolju mediteransku kuhinju uz čašicu šampanjca i najskuplji pogled u zemlji, na samom Mulu 1, gdje su vezane najveće jahte u marini, Mitsu – vjerovatno najbolji suši na obali, a odnedavno sofisticirani konceptualni libanski restoran Byblos koji nudi novu dimenziju gastro iskustva – “zesty mezze”, sočna predjela, marinirana jela i zalogaji s aromatičnim biljem i začinima koje pripremaju iskusni libanski kuvari po tradicionalnoj recepturi. Novitet ovog ljeta je koncept-pekara </w:t>
      </w:r>
      <w:r w:rsidRPr="00D33A0B">
        <w:rPr>
          <w:rFonts w:ascii="Times New Roman" w:eastAsia="Calibri" w:hAnsi="Times New Roman"/>
          <w:i/>
          <w:sz w:val="24"/>
          <w:szCs w:val="24"/>
        </w:rPr>
        <w:t>BREAD,</w:t>
      </w:r>
      <w:r w:rsidRPr="00D33A0B">
        <w:rPr>
          <w:rFonts w:ascii="Times New Roman" w:eastAsia="Calibri" w:hAnsi="Times New Roman"/>
          <w:sz w:val="24"/>
          <w:szCs w:val="24"/>
        </w:rPr>
        <w:t xml:space="preserve"> koja nudi delicije bez glutena, zdrave smoothies, kao i odličnu selekciju francuskih peciva, što pokazuje da zdravo može da bude i izuzetno ukusno, što je upravo i misija i strast BREAD tima, podjeliti tajnu ovog nevjerovatnog </w:t>
      </w:r>
      <w:r w:rsidRPr="00D33A0B">
        <w:rPr>
          <w:rFonts w:ascii="Times New Roman" w:eastAsia="Calibri" w:hAnsi="Times New Roman"/>
          <w:sz w:val="24"/>
          <w:szCs w:val="24"/>
        </w:rPr>
        <w:lastRenderedPageBreak/>
        <w:t>spoja. I ove godine sa nama je bio i najukusniji sladoledni brend na obali – Moritz Eis, ali i popularni bar The Clubhouse, na novoj lokaciji, u rezidenciji Ksenija, tik uz tivatsko šetalište Pine.</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A ako sve ovo nije privuklo vašu pažnju, tu je i novi koncept „otvorene kuhinje“, gdje se sa kuvarom možete dogovoriti o specijalnom meniju dizajniranom samo za vas, i vaše posebno veče, bilo da je privatno ili poslovno, u elegantnom, a ipak nepretencioznom ambijentu nove privatne kuhinje u okviru restorana Al Posto Giusto. </w:t>
      </w:r>
    </w:p>
    <w:p w:rsidR="005D6FE4" w:rsidRPr="00D33A0B" w:rsidRDefault="005D6FE4" w:rsidP="005D6FE4">
      <w:pPr>
        <w:pStyle w:val="NoSpacing"/>
        <w:jc w:val="both"/>
        <w:rPr>
          <w:rFonts w:ascii="Times New Roman" w:eastAsia="Calibri" w:hAnsi="Times New Roman"/>
          <w:sz w:val="24"/>
          <w:szCs w:val="24"/>
          <w:lang w:val="sr-Latn-CS"/>
        </w:rPr>
      </w:pPr>
      <w:r w:rsidRPr="00D33A0B">
        <w:rPr>
          <w:rFonts w:ascii="Times New Roman" w:eastAsia="Calibri" w:hAnsi="Times New Roman"/>
          <w:sz w:val="24"/>
          <w:szCs w:val="24"/>
          <w:lang w:val="sr-Latn-CS"/>
        </w:rPr>
        <w:t xml:space="preserve">U cilju promovisanja crnogorske autohtone gasto tradicije, Pijaca domaćih proizvoda imala je svoja izdanja 11. i 12. jula i 13. i 14. avgusta, ali i 3. i 4. septembra,  a svi posjetioci su uživali u degustaciji organskih autohtonih proizvoda iz svih krajeva Crne Gore: sušenom kandiranom voću, specijalitetetima od maslina, medu pomiješanom sa cimetom, tamnom čokoladom i orahom, kolačima i slatkišima bokeljskih domaćica, domaćem hlebu, i ostalim organskim gastro delicijama. Četvrta edicija čuvenog salona vina Superwine na bazenskom kompleksu PMYC okupila je 1. i 2. jula više od 20 renomiranih domaćih i evropskih proizvođača vina, uz specijalne goste i izuzetnu zabavu. </w:t>
      </w:r>
    </w:p>
    <w:p w:rsidR="005D6FE4" w:rsidRPr="00D33A0B" w:rsidRDefault="005D6FE4" w:rsidP="005D6FE4">
      <w:pPr>
        <w:pStyle w:val="NoSpacing"/>
        <w:jc w:val="both"/>
        <w:rPr>
          <w:rFonts w:ascii="Times New Roman" w:eastAsia="Calibri" w:hAnsi="Times New Roman"/>
          <w:sz w:val="24"/>
          <w:szCs w:val="24"/>
          <w:lang w:val="sr-Latn-CS"/>
        </w:rPr>
      </w:pPr>
    </w:p>
    <w:p w:rsidR="005D6FE4" w:rsidRPr="00D33A0B" w:rsidRDefault="005D6FE4" w:rsidP="005D6FE4">
      <w:pPr>
        <w:pStyle w:val="NoSpacing"/>
        <w:jc w:val="both"/>
        <w:rPr>
          <w:rFonts w:ascii="Times New Roman" w:eastAsia="Calibri" w:hAnsi="Times New Roman"/>
          <w:b/>
          <w:sz w:val="24"/>
          <w:szCs w:val="24"/>
        </w:rPr>
      </w:pPr>
      <w:r w:rsidRPr="00D33A0B">
        <w:rPr>
          <w:rFonts w:ascii="Times New Roman" w:eastAsia="Calibri" w:hAnsi="Times New Roman"/>
          <w:b/>
          <w:sz w:val="24"/>
          <w:szCs w:val="24"/>
        </w:rPr>
        <w:t xml:space="preserve">Intenzivan kalendar događaja u nautičkom naselju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Stjecište savremene svjetske umjetnosti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Vodeća britanska galerija savremene umjetnosti </w:t>
      </w:r>
      <w:r w:rsidRPr="00D33A0B">
        <w:rPr>
          <w:rFonts w:ascii="Times New Roman" w:eastAsia="Calibri" w:hAnsi="Times New Roman"/>
          <w:i/>
          <w:sz w:val="24"/>
          <w:szCs w:val="24"/>
        </w:rPr>
        <w:t xml:space="preserve">Mead Carney </w:t>
      </w:r>
      <w:r w:rsidRPr="00D33A0B">
        <w:rPr>
          <w:rFonts w:ascii="Times New Roman" w:eastAsia="Calibri" w:hAnsi="Times New Roman"/>
          <w:sz w:val="24"/>
          <w:szCs w:val="24"/>
        </w:rPr>
        <w:t xml:space="preserve">iz Londona, i ovog ljeta otvorila je svoja vrata, sa novim atraktivnim umjetničkim postavkama – nova serija umjetnika Roberta Marsa pod nazivom </w:t>
      </w:r>
      <w:r w:rsidRPr="00D33A0B">
        <w:rPr>
          <w:rFonts w:ascii="Times New Roman" w:eastAsia="Calibri" w:hAnsi="Times New Roman"/>
          <w:i/>
          <w:sz w:val="24"/>
          <w:szCs w:val="24"/>
        </w:rPr>
        <w:t>Zlatno doba</w:t>
      </w:r>
      <w:r w:rsidRPr="00D33A0B">
        <w:rPr>
          <w:rFonts w:ascii="Times New Roman" w:eastAsia="Calibri" w:hAnsi="Times New Roman"/>
          <w:sz w:val="24"/>
          <w:szCs w:val="24"/>
        </w:rPr>
        <w:t xml:space="preserve">, bila je postavljena tokom jula i avgusta, a prokazala je pop-art stil američkih zvijezda 50-ih i 60-ih godina prošlog vijeka.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Zidove </w:t>
      </w:r>
      <w:r w:rsidRPr="00D33A0B">
        <w:rPr>
          <w:rFonts w:ascii="Times New Roman" w:eastAsia="Calibri" w:hAnsi="Times New Roman"/>
          <w:i/>
          <w:sz w:val="24"/>
          <w:szCs w:val="24"/>
        </w:rPr>
        <w:t>Zbirke pomorskog nasljeđa</w:t>
      </w:r>
      <w:r w:rsidRPr="00D33A0B">
        <w:rPr>
          <w:rFonts w:ascii="Times New Roman" w:eastAsia="Calibri" w:hAnsi="Times New Roman"/>
          <w:sz w:val="24"/>
          <w:szCs w:val="24"/>
        </w:rPr>
        <w:t xml:space="preserve"> krasile su umjetnine najvećih imena iz regiona – crnogorska galerija </w:t>
      </w:r>
      <w:r w:rsidRPr="00D33A0B">
        <w:rPr>
          <w:rFonts w:ascii="Times New Roman" w:eastAsia="Calibri" w:hAnsi="Times New Roman"/>
          <w:i/>
          <w:sz w:val="24"/>
          <w:szCs w:val="24"/>
        </w:rPr>
        <w:t>Gayo</w:t>
      </w:r>
      <w:r w:rsidRPr="00D33A0B">
        <w:rPr>
          <w:rFonts w:ascii="Times New Roman" w:eastAsia="Calibri" w:hAnsi="Times New Roman"/>
          <w:sz w:val="24"/>
          <w:szCs w:val="24"/>
        </w:rPr>
        <w:t xml:space="preserve"> dovodi umjetnika Sava Pekovića, koji će se predstaviti sa ciklusom radova Mediterranean Cycle Absence of Presence. Izložba bila postavljena od 11. do 17. jula, a već 18. juna na istom mjestu prezentovana je umjetnost poznatih crnogorskih umjetnika, braće Mladena i Željka Đurovića. Njihova izložba inspirisana ženom, koja predstavlja čuvara ličnih i istorijskih impresija, a biće postavljena do kraja jula.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Beogradska umjetnica Marija Đurić predstavila se sa novom, hrabrom, atraktivnom postavkom </w:t>
      </w:r>
      <w:r w:rsidRPr="00D33A0B">
        <w:rPr>
          <w:rFonts w:ascii="Times New Roman" w:eastAsia="Calibri" w:hAnsi="Times New Roman"/>
          <w:i/>
          <w:sz w:val="24"/>
          <w:szCs w:val="24"/>
        </w:rPr>
        <w:t xml:space="preserve">Karnevalizacija života, </w:t>
      </w:r>
      <w:r w:rsidRPr="00D33A0B">
        <w:rPr>
          <w:rFonts w:ascii="Times New Roman" w:eastAsia="Calibri" w:hAnsi="Times New Roman"/>
          <w:sz w:val="24"/>
          <w:szCs w:val="24"/>
        </w:rPr>
        <w:t>od 1. do 14. avgusta.</w:t>
      </w:r>
      <w:r w:rsidRPr="00D33A0B">
        <w:rPr>
          <w:rFonts w:ascii="Times New Roman" w:eastAsia="Calibri" w:hAnsi="Times New Roman"/>
          <w:i/>
          <w:sz w:val="24"/>
          <w:szCs w:val="24"/>
        </w:rPr>
        <w:t xml:space="preserve"> </w:t>
      </w:r>
      <w:r w:rsidRPr="00D33A0B">
        <w:rPr>
          <w:rFonts w:ascii="Times New Roman" w:eastAsia="Calibri" w:hAnsi="Times New Roman"/>
          <w:sz w:val="24"/>
          <w:szCs w:val="24"/>
        </w:rPr>
        <w:t xml:space="preserve">Uz moralno i intelektualno pravo da se temom karnevala bavi baš u Boki čija je tradicija maškarada dominantna, Marija je podsjetila na veselu stranu života, poigravajući se glamurom i modom, stvarajući velike cipele i raskošne haljine od četiri metra.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Selekcija slika pod nazivom </w:t>
      </w:r>
      <w:r w:rsidRPr="00D33A0B">
        <w:rPr>
          <w:rFonts w:ascii="Times New Roman" w:eastAsia="Calibri" w:hAnsi="Times New Roman"/>
          <w:i/>
          <w:sz w:val="24"/>
          <w:szCs w:val="24"/>
        </w:rPr>
        <w:t xml:space="preserve">Oh! Your Pretty Things, </w:t>
      </w:r>
      <w:r w:rsidRPr="00D33A0B">
        <w:rPr>
          <w:rFonts w:ascii="Times New Roman" w:eastAsia="Calibri" w:hAnsi="Times New Roman"/>
          <w:sz w:val="24"/>
          <w:szCs w:val="24"/>
        </w:rPr>
        <w:t xml:space="preserve">poznate italijanske galerije sa Kaprija Liquid Art System, prezentovana je od 15. avgusta do 15. oktobra, u Zbirci pomorskog nasljeđa.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Mudro osmišljen koncept art punkt-a podgoričke galerije Pizana, ovog ljeta krasila je postavka crnogorskih likovnih stvaralaca u zgradi Ksenija, a kroz postavku ove godine posjetioci mogli su pratiti raznolikost savremene likovne scene, jer je riječ o individualcima sa jasno definisanim stvaralačkim integritetom.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Podgorička galerija </w:t>
      </w:r>
      <w:r w:rsidRPr="00D33A0B">
        <w:rPr>
          <w:rFonts w:ascii="Times New Roman" w:eastAsia="Calibri" w:hAnsi="Times New Roman"/>
          <w:i/>
          <w:sz w:val="24"/>
          <w:szCs w:val="24"/>
        </w:rPr>
        <w:t>Konsul</w:t>
      </w:r>
      <w:r w:rsidRPr="00D33A0B">
        <w:rPr>
          <w:rFonts w:ascii="Times New Roman" w:eastAsia="Calibri" w:hAnsi="Times New Roman"/>
          <w:sz w:val="24"/>
          <w:szCs w:val="24"/>
        </w:rPr>
        <w:t xml:space="preserve"> je u korporativnoj zgradi kompanije Adriatic Marinas tokom ljeta predstavila dvije postavke aktivnih crnogorskih slikara i vajara. Nautičkoj klijenteli se do 15 jula predstaviti umjetnici Tijana Dujović, Željko Reljić, Nikola Radović, Milutin Obradović, Miloš Miki Popović, Vladislav Patrić, Ratko Odalović, a od 15. jula do 15. avgusta autori Nikola Gvozdenović, Dragan Karadžić, Vojo Tatar, Predrag Gazivoda, Vojo Vlahović. </w:t>
      </w:r>
    </w:p>
    <w:p w:rsidR="005D6FE4" w:rsidRPr="00D33A0B" w:rsidRDefault="005D6FE4" w:rsidP="005D6FE4">
      <w:pPr>
        <w:pStyle w:val="NoSpacing"/>
        <w:jc w:val="both"/>
        <w:rPr>
          <w:rFonts w:ascii="Times New Roman" w:eastAsia="Calibri" w:hAnsi="Times New Roman"/>
          <w:sz w:val="24"/>
          <w:szCs w:val="24"/>
        </w:rPr>
      </w:pPr>
    </w:p>
    <w:p w:rsidR="005D6FE4" w:rsidRPr="00D33A0B" w:rsidRDefault="005D6FE4" w:rsidP="005D6FE4">
      <w:pPr>
        <w:pStyle w:val="NoSpacing"/>
        <w:jc w:val="both"/>
        <w:rPr>
          <w:rFonts w:ascii="Times New Roman" w:eastAsia="Calibri" w:hAnsi="Times New Roman"/>
          <w:b/>
          <w:sz w:val="24"/>
          <w:szCs w:val="24"/>
        </w:rPr>
      </w:pPr>
      <w:r w:rsidRPr="00D33A0B">
        <w:rPr>
          <w:rFonts w:ascii="Times New Roman" w:eastAsia="Calibri" w:hAnsi="Times New Roman"/>
          <w:b/>
          <w:sz w:val="24"/>
          <w:szCs w:val="24"/>
        </w:rPr>
        <w:t xml:space="preserve">Najbolji šoping na obali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 xml:space="preserve">Dizajnerski butici i svjetski brendovi rangirali su tivatsko nautičko naselje kao mjesto modne destinacije koja parira Kapriju i Monaku - u promenadi modnih jedinica i konceptualnih radnji, mogu se pronaći ultraluksuzni odjevni komadi i aksesoari. U glavnoj šoping ulici Porto Montenegra nalaze se i konceptualne radnje, među kojima je i Fashionistas Shop-in-Shop Galerija - za stilizovane modne znalce i one koji uživaju u tome da sebi priušte najnoviji model iz prefinjene </w:t>
      </w:r>
      <w:r w:rsidRPr="00D33A0B">
        <w:rPr>
          <w:rFonts w:ascii="Times New Roman" w:eastAsia="Calibri" w:hAnsi="Times New Roman"/>
          <w:sz w:val="24"/>
          <w:szCs w:val="24"/>
        </w:rPr>
        <w:lastRenderedPageBreak/>
        <w:t xml:space="preserve">kolekcije Balenciaga, Diane von Furstenberg, Dolce &amp; Gabbana, Dries Van Noten, La Perla, Moncler, Philipp Plein, Tom Ford i mnogi drugi. </w:t>
      </w:r>
    </w:p>
    <w:p w:rsidR="005D6FE4" w:rsidRPr="00D33A0B" w:rsidRDefault="005D6FE4" w:rsidP="005D6FE4">
      <w:pPr>
        <w:pStyle w:val="NoSpacing"/>
        <w:jc w:val="both"/>
        <w:rPr>
          <w:rFonts w:ascii="Times New Roman" w:eastAsia="Calibri" w:hAnsi="Times New Roman"/>
          <w:sz w:val="24"/>
          <w:szCs w:val="24"/>
        </w:rPr>
      </w:pPr>
      <w:r w:rsidRPr="00D33A0B">
        <w:rPr>
          <w:rFonts w:ascii="Times New Roman" w:eastAsia="Calibri" w:hAnsi="Times New Roman"/>
          <w:sz w:val="24"/>
          <w:szCs w:val="24"/>
        </w:rPr>
        <w:t>Kupoholičarke zasigurno uživaju i u ekskluzivnom butiku Mooi u kome se mogu naci nove kolekcije prestiznih brendova Celine, Chloe, Dita, Isabel Marant, Marni, Saint Laurent, Thom Browne, Valentino, Victoria Beckham i mnogi drugi. . Naselje nudi i siroku lepezu plažnih outfit-a kroz Heidi Klein radnju cija je ovo specijalnost.  Italijanski modni brend Genny za dame sa sofisticiranim stilom, u najnovijoj ljetnjoj kolekciji aludira na hiper glamuroznu atmosferu `80tih sa svojim jedinstvenim art deco motivima. Brend  Misahara na novoj lokaciji u srcu naselja nudi najluksuzniji nakit koji se dizajnira u Njujorku, inspirisan toplinom i svjetlucanjem Jadranskog mora, te zlatnim pijeskom Sahara pustinje.  Konceptualna radnja Supermarket ostaje dosledna svom konceptu uvodeci nova iznenadjenja za sve posetioce. Shubeshu radnja cipela nudi fanki, optimisticnu obucu za zene, muskarce i djecu brendova Anniel, Caruso, Leghila, Pretty Ballerinas i jos mnogih drugih fanki dizajnerskih brendova. Luksuzna radnja satova Excelsior, novitet u naselju, ce nam predstaviti prestizne brendove satova kao sto su Cartier, Chopard, Vacheron Constantin  i drugi.</w:t>
      </w:r>
    </w:p>
    <w:p w:rsidR="004549A7" w:rsidRPr="00D33A0B" w:rsidRDefault="004549A7" w:rsidP="00E5449B">
      <w:pPr>
        <w:jc w:val="both"/>
        <w:rPr>
          <w:b/>
          <w:sz w:val="28"/>
          <w:szCs w:val="28"/>
          <w:u w:val="single"/>
        </w:rPr>
      </w:pPr>
    </w:p>
    <w:p w:rsidR="00E5449B" w:rsidRPr="00D33A0B" w:rsidRDefault="00E5449B" w:rsidP="00E5449B">
      <w:pPr>
        <w:jc w:val="both"/>
        <w:rPr>
          <w:b/>
          <w:sz w:val="28"/>
          <w:szCs w:val="28"/>
          <w:u w:val="single"/>
        </w:rPr>
      </w:pPr>
      <w:r w:rsidRPr="00D33A0B">
        <w:rPr>
          <w:b/>
          <w:sz w:val="28"/>
          <w:szCs w:val="28"/>
          <w:u w:val="single"/>
        </w:rPr>
        <w:t>LUŠTICA BAY</w:t>
      </w:r>
    </w:p>
    <w:p w:rsidR="00E5449B" w:rsidRPr="00D33A0B" w:rsidRDefault="00E5449B" w:rsidP="00E5449B">
      <w:pPr>
        <w:jc w:val="both"/>
        <w:rPr>
          <w:b/>
        </w:rPr>
      </w:pPr>
    </w:p>
    <w:p w:rsidR="004549A7" w:rsidRPr="00D33A0B" w:rsidRDefault="004549A7" w:rsidP="004549A7">
      <w:pPr>
        <w:shd w:val="clear" w:color="auto" w:fill="FFFFFF"/>
        <w:jc w:val="both"/>
      </w:pPr>
      <w:r w:rsidRPr="00D33A0B">
        <w:t>Ljeto 2016. je bilo jedno od najproduktivnijih u istoriji projekta Luštica Bay do sada. Pored intenzivne izgradnje više stambenih blokova sa novim jedinicama, kalendar dešavanja je bio prepun interesantnih koncerata, izložbi i td.</w:t>
      </w:r>
    </w:p>
    <w:p w:rsidR="004549A7" w:rsidRPr="00D33A0B" w:rsidRDefault="004549A7" w:rsidP="004549A7">
      <w:pPr>
        <w:shd w:val="clear" w:color="auto" w:fill="FFFFFF"/>
        <w:jc w:val="both"/>
      </w:pPr>
      <w:r w:rsidRPr="00D33A0B">
        <w:t> </w:t>
      </w:r>
    </w:p>
    <w:p w:rsidR="004549A7" w:rsidRPr="00D33A0B" w:rsidRDefault="004549A7" w:rsidP="004549A7">
      <w:pPr>
        <w:shd w:val="clear" w:color="auto" w:fill="FFFFFF"/>
        <w:jc w:val="both"/>
      </w:pPr>
      <w:r w:rsidRPr="00D33A0B">
        <w:t>U poslednja 3 mjeseca izgradnja objekata odvija se ubrzanim tempom, pa su prve 4 zgrade novog stambenog bloka već potpuno otkrivene sa završenim fasadama, u kojima su započeti unutrašnji finalni radovi. Osim stambenog bloka Lavanda, započeta je izgradnja stambenog bloka Ruzmarin, dok su iskopine rađene i na lokaciji 5 ekskluzivnih vila u marina naselju. Posebno izdvajamo postizanje dogovora sa hotelskom grupacijom GHM, koja stoji iza renomiranog medjunarodnog luksuznog lanca hotela „The Chedi“, hotelskog brenda koji će upravljati prvim hotelom u projektu - The Chedi Luštica Bay, čija izgradnja će se intenzivirati nakon ljeta.</w:t>
      </w:r>
    </w:p>
    <w:p w:rsidR="004549A7" w:rsidRPr="00D33A0B" w:rsidRDefault="004549A7" w:rsidP="004549A7">
      <w:pPr>
        <w:shd w:val="clear" w:color="auto" w:fill="FFFFFF"/>
        <w:jc w:val="both"/>
      </w:pPr>
      <w:r w:rsidRPr="00D33A0B">
        <w:t>Što se događaja u Luštici Bay tiče, posebno ističemo 2 velika koncerta sa uspješnim svjetskim umjetnicima iz svijeta muzike, koncert Soul &amp; Jazz pjevačice Joss Stone, te koncert našeg proslavljenog klasičnog gitariste Miloša Karadaglića. Osim dva navedena događaja, upriličili smo mnoge sedmične roštilje za stanovnike naselja Luštica Bay, kao i golf takmičenja, promocije književnih ostvarenja te izložbe slika i fotografija. Obnovili smo i uspješne saradnje sa Centrom za kulturu Tivat i festivalom Kotor Art, te otpočeli novu saradnju sa fondacijom Operosa – te realizovali događaje poput opere „Lo Spettacolo“, koncerta egipatskog kvarteta Nile Waves i večeri „Classical moment“, koncerta tria Balkan „Veče Piazzolle“, kao i već spomenutog koncerta Miloš Invites, na kojem smo imali prilike slušati našeg gitaristu u pratnji njegovih cijenjenih kolega Andreasa Ottensamera i Kesnije Sidorove.</w:t>
      </w:r>
    </w:p>
    <w:p w:rsidR="004549A7" w:rsidRPr="00D33A0B" w:rsidRDefault="004549A7" w:rsidP="004549A7">
      <w:pPr>
        <w:shd w:val="clear" w:color="auto" w:fill="FFFFFF"/>
        <w:jc w:val="both"/>
      </w:pPr>
      <w:r w:rsidRPr="00D33A0B">
        <w:t>Osim pomenutih događaja i novosti po pitanju izgradnje projekta, značajno je dodati da je u toku ljeta organizovan značajan broj medijskih posjeta, sa lokalnim, regionalnim te internacionalnim predstavnicima medija koji će u predstojećim mjeseca izdati veliki broj članaka u internacionalnim publikacijama u kojima će se prvenstveno promovisati Opština Tivat i Crnu Goru, kroz prizmu projekta Luštica Bay.</w:t>
      </w:r>
    </w:p>
    <w:p w:rsidR="00E5449B" w:rsidRPr="00D33A0B" w:rsidRDefault="00E5449B" w:rsidP="004549A7">
      <w:pPr>
        <w:jc w:val="both"/>
        <w:rPr>
          <w:b/>
        </w:rPr>
      </w:pPr>
    </w:p>
    <w:p w:rsidR="00C10DEB" w:rsidRPr="00D33A0B" w:rsidRDefault="00C10DEB" w:rsidP="004549A7">
      <w:pPr>
        <w:jc w:val="both"/>
        <w:rPr>
          <w:b/>
        </w:rPr>
      </w:pPr>
    </w:p>
    <w:p w:rsidR="00C10DEB" w:rsidRPr="00D33A0B" w:rsidRDefault="00C10DEB" w:rsidP="004549A7">
      <w:pPr>
        <w:jc w:val="both"/>
        <w:rPr>
          <w:b/>
        </w:rPr>
      </w:pPr>
    </w:p>
    <w:p w:rsidR="007E6C18" w:rsidRPr="00D33A0B" w:rsidRDefault="007E6C18" w:rsidP="004549A7">
      <w:pPr>
        <w:jc w:val="both"/>
        <w:rPr>
          <w:b/>
        </w:rPr>
      </w:pPr>
    </w:p>
    <w:p w:rsidR="007E6C18" w:rsidRPr="00D33A0B" w:rsidRDefault="007E6C18" w:rsidP="004549A7">
      <w:pPr>
        <w:jc w:val="both"/>
        <w:rPr>
          <w:b/>
        </w:rPr>
      </w:pPr>
    </w:p>
    <w:p w:rsidR="007E6C18" w:rsidRPr="00D33A0B" w:rsidRDefault="007E6C18" w:rsidP="004549A7">
      <w:pPr>
        <w:jc w:val="both"/>
        <w:rPr>
          <w:b/>
        </w:rPr>
      </w:pPr>
    </w:p>
    <w:p w:rsidR="00E5449B" w:rsidRPr="00D33A0B" w:rsidRDefault="00E5449B" w:rsidP="00E5449B">
      <w:pPr>
        <w:jc w:val="both"/>
        <w:rPr>
          <w:sz w:val="28"/>
          <w:szCs w:val="28"/>
          <w:u w:val="single"/>
          <w:lang w:val="sr-Latn-CS"/>
        </w:rPr>
      </w:pPr>
      <w:r w:rsidRPr="00D33A0B">
        <w:rPr>
          <w:b/>
          <w:sz w:val="28"/>
          <w:szCs w:val="28"/>
          <w:u w:val="single"/>
          <w:lang w:val="sr-Latn-CS"/>
        </w:rPr>
        <w:lastRenderedPageBreak/>
        <w:t>SLUŽBA TELEFONA 1300</w:t>
      </w:r>
    </w:p>
    <w:p w:rsidR="00E5449B" w:rsidRPr="00D33A0B" w:rsidRDefault="00E5449B" w:rsidP="00E5449B">
      <w:pPr>
        <w:jc w:val="both"/>
        <w:rPr>
          <w:rStyle w:val="Emphasis"/>
          <w:rFonts w:eastAsia="Calibri"/>
          <w:i w:val="0"/>
        </w:rPr>
      </w:pPr>
    </w:p>
    <w:p w:rsidR="00D732D7" w:rsidRPr="00D33A0B" w:rsidRDefault="004549A7" w:rsidP="004549A7">
      <w:pPr>
        <w:jc w:val="both"/>
        <w:rPr>
          <w:b/>
          <w:lang w:val="sr-Latn-CS"/>
        </w:rPr>
      </w:pPr>
      <w:r w:rsidRPr="00D33A0B">
        <w:rPr>
          <w:lang w:val="sr-Latn-CS"/>
        </w:rPr>
        <w:t xml:space="preserve">Služba telefona za informacije, sugestije, pritužbe i pohvale specijalnog broja </w:t>
      </w:r>
      <w:r w:rsidRPr="00D33A0B">
        <w:rPr>
          <w:b/>
          <w:lang w:val="sr-Latn-CS"/>
        </w:rPr>
        <w:t>08000 1300</w:t>
      </w:r>
      <w:r w:rsidRPr="00D33A0B">
        <w:rPr>
          <w:lang w:val="sr-Latn-CS"/>
        </w:rPr>
        <w:t xml:space="preserve">, za potrebe Nacionalne turističke ogranizacije, </w:t>
      </w:r>
      <w:r w:rsidRPr="00D33A0B">
        <w:rPr>
          <w:b/>
          <w:lang w:val="sr-Latn-CS"/>
        </w:rPr>
        <w:t>u periodu od 1. juna do 30. juna 2016. godine primila je ukupno 84 poziva. Od ukupnog broja 48 poziva se odnosilo na informacije i 36 poziva na pritužbe.</w:t>
      </w:r>
      <w:r w:rsidR="002A2E1F" w:rsidRPr="00D33A0B">
        <w:rPr>
          <w:b/>
          <w:lang w:val="sr-Latn-CS"/>
        </w:rPr>
        <w:t xml:space="preserve"> </w:t>
      </w:r>
      <w:r w:rsidRPr="00D33A0B">
        <w:rPr>
          <w:lang w:val="sr-Latn-CS"/>
        </w:rPr>
        <w:t xml:space="preserve">U ovom periodu nije pristiglo poziva koji su se odnosili na pohvale. </w:t>
      </w:r>
    </w:p>
    <w:p w:rsidR="004549A7" w:rsidRPr="00D33A0B" w:rsidRDefault="004549A7" w:rsidP="004549A7">
      <w:pPr>
        <w:jc w:val="both"/>
        <w:rPr>
          <w:lang w:val="sr-Latn-CS"/>
        </w:rPr>
      </w:pPr>
      <w:r w:rsidRPr="00D33A0B">
        <w:rPr>
          <w:lang w:val="sr-Latn-CS"/>
        </w:rPr>
        <w:t xml:space="preserve"> </w:t>
      </w:r>
    </w:p>
    <w:tbl>
      <w:tblPr>
        <w:tblStyle w:val="TableGrid"/>
        <w:tblW w:w="0" w:type="auto"/>
        <w:tblLook w:val="04A0"/>
      </w:tblPr>
      <w:tblGrid>
        <w:gridCol w:w="2660"/>
        <w:gridCol w:w="1417"/>
      </w:tblGrid>
      <w:tr w:rsidR="00D732D7" w:rsidRPr="00D33A0B" w:rsidTr="00914F70">
        <w:tc>
          <w:tcPr>
            <w:tcW w:w="2660" w:type="dxa"/>
            <w:shd w:val="clear" w:color="auto" w:fill="000000" w:themeFill="text1"/>
          </w:tcPr>
          <w:p w:rsidR="00D732D7" w:rsidRPr="00D33A0B" w:rsidRDefault="00D732D7" w:rsidP="004549A7">
            <w:pPr>
              <w:jc w:val="both"/>
              <w:rPr>
                <w:lang w:val="sr-Latn-CS"/>
              </w:rPr>
            </w:pPr>
            <w:r w:rsidRPr="00D33A0B">
              <w:rPr>
                <w:lang w:val="sr-Latn-CS"/>
              </w:rPr>
              <w:t>01.06. – 30.06.</w:t>
            </w:r>
          </w:p>
        </w:tc>
        <w:tc>
          <w:tcPr>
            <w:tcW w:w="1417" w:type="dxa"/>
          </w:tcPr>
          <w:p w:rsidR="00D732D7" w:rsidRPr="00D33A0B" w:rsidRDefault="00D732D7" w:rsidP="004549A7">
            <w:pPr>
              <w:jc w:val="both"/>
              <w:rPr>
                <w:lang w:val="sr-Latn-CS"/>
              </w:rPr>
            </w:pPr>
          </w:p>
        </w:tc>
      </w:tr>
      <w:tr w:rsidR="00D732D7" w:rsidRPr="00D33A0B" w:rsidTr="00914F70">
        <w:tc>
          <w:tcPr>
            <w:tcW w:w="2660" w:type="dxa"/>
          </w:tcPr>
          <w:p w:rsidR="00D732D7" w:rsidRPr="00D33A0B" w:rsidRDefault="00D732D7" w:rsidP="004549A7">
            <w:pPr>
              <w:jc w:val="both"/>
              <w:rPr>
                <w:lang w:val="sr-Latn-CS"/>
              </w:rPr>
            </w:pPr>
            <w:r w:rsidRPr="00D33A0B">
              <w:rPr>
                <w:lang w:val="sr-Latn-CS"/>
              </w:rPr>
              <w:t>Informacije</w:t>
            </w:r>
          </w:p>
        </w:tc>
        <w:tc>
          <w:tcPr>
            <w:tcW w:w="1417" w:type="dxa"/>
          </w:tcPr>
          <w:p w:rsidR="00D732D7" w:rsidRPr="00D33A0B" w:rsidRDefault="00D732D7" w:rsidP="00D732D7">
            <w:pPr>
              <w:jc w:val="center"/>
              <w:rPr>
                <w:lang w:val="sr-Latn-CS"/>
              </w:rPr>
            </w:pPr>
            <w:r w:rsidRPr="00D33A0B">
              <w:rPr>
                <w:lang w:val="sr-Latn-CS"/>
              </w:rPr>
              <w:t>48</w:t>
            </w:r>
          </w:p>
        </w:tc>
      </w:tr>
      <w:tr w:rsidR="00D732D7" w:rsidRPr="00D33A0B" w:rsidTr="00914F70">
        <w:tc>
          <w:tcPr>
            <w:tcW w:w="2660" w:type="dxa"/>
          </w:tcPr>
          <w:p w:rsidR="00D732D7" w:rsidRPr="00D33A0B" w:rsidRDefault="00D732D7" w:rsidP="004549A7">
            <w:pPr>
              <w:jc w:val="both"/>
              <w:rPr>
                <w:lang w:val="sr-Latn-CS"/>
              </w:rPr>
            </w:pPr>
            <w:r w:rsidRPr="00D33A0B">
              <w:rPr>
                <w:lang w:val="sr-Latn-CS"/>
              </w:rPr>
              <w:t>Pritužbe</w:t>
            </w:r>
          </w:p>
        </w:tc>
        <w:tc>
          <w:tcPr>
            <w:tcW w:w="1417" w:type="dxa"/>
          </w:tcPr>
          <w:p w:rsidR="00D732D7" w:rsidRPr="00D33A0B" w:rsidRDefault="00D732D7" w:rsidP="00D732D7">
            <w:pPr>
              <w:jc w:val="center"/>
              <w:rPr>
                <w:lang w:val="sr-Latn-CS"/>
              </w:rPr>
            </w:pPr>
            <w:r w:rsidRPr="00D33A0B">
              <w:rPr>
                <w:lang w:val="sr-Latn-CS"/>
              </w:rPr>
              <w:t>36</w:t>
            </w:r>
          </w:p>
        </w:tc>
      </w:tr>
      <w:tr w:rsidR="00D732D7" w:rsidRPr="00D33A0B" w:rsidTr="00914F70">
        <w:tc>
          <w:tcPr>
            <w:tcW w:w="2660" w:type="dxa"/>
          </w:tcPr>
          <w:p w:rsidR="00D732D7" w:rsidRPr="00D33A0B" w:rsidRDefault="00D732D7" w:rsidP="004549A7">
            <w:pPr>
              <w:jc w:val="both"/>
              <w:rPr>
                <w:lang w:val="sr-Latn-CS"/>
              </w:rPr>
            </w:pPr>
            <w:r w:rsidRPr="00D33A0B">
              <w:rPr>
                <w:lang w:val="sr-Latn-CS"/>
              </w:rPr>
              <w:t>Pohvale</w:t>
            </w:r>
          </w:p>
        </w:tc>
        <w:tc>
          <w:tcPr>
            <w:tcW w:w="1417" w:type="dxa"/>
          </w:tcPr>
          <w:p w:rsidR="00D732D7" w:rsidRPr="00D33A0B" w:rsidRDefault="00D732D7" w:rsidP="00D732D7">
            <w:pPr>
              <w:jc w:val="center"/>
              <w:rPr>
                <w:lang w:val="sr-Latn-CS"/>
              </w:rPr>
            </w:pPr>
            <w:r w:rsidRPr="00D33A0B">
              <w:rPr>
                <w:lang w:val="sr-Latn-CS"/>
              </w:rPr>
              <w:t>0</w:t>
            </w:r>
          </w:p>
        </w:tc>
      </w:tr>
      <w:tr w:rsidR="00D732D7" w:rsidRPr="00D33A0B" w:rsidTr="00914F70">
        <w:tc>
          <w:tcPr>
            <w:tcW w:w="2660" w:type="dxa"/>
          </w:tcPr>
          <w:p w:rsidR="00D732D7" w:rsidRPr="00D33A0B" w:rsidRDefault="00D732D7" w:rsidP="00D732D7">
            <w:pPr>
              <w:jc w:val="right"/>
              <w:rPr>
                <w:b/>
                <w:lang w:val="sr-Latn-CS"/>
              </w:rPr>
            </w:pPr>
            <w:r w:rsidRPr="00D33A0B">
              <w:rPr>
                <w:b/>
                <w:lang w:val="sr-Latn-CS"/>
              </w:rPr>
              <w:t>Ukupno:</w:t>
            </w:r>
          </w:p>
        </w:tc>
        <w:tc>
          <w:tcPr>
            <w:tcW w:w="1417" w:type="dxa"/>
          </w:tcPr>
          <w:p w:rsidR="00D732D7" w:rsidRPr="00D33A0B" w:rsidRDefault="00D732D7" w:rsidP="00D732D7">
            <w:pPr>
              <w:jc w:val="center"/>
              <w:rPr>
                <w:lang w:val="sr-Latn-CS"/>
              </w:rPr>
            </w:pPr>
            <w:r w:rsidRPr="00D33A0B">
              <w:rPr>
                <w:lang w:val="sr-Latn-CS"/>
              </w:rPr>
              <w:t>84</w:t>
            </w:r>
          </w:p>
        </w:tc>
      </w:tr>
    </w:tbl>
    <w:p w:rsidR="007E6C18" w:rsidRPr="00D33A0B" w:rsidRDefault="007E6C18" w:rsidP="003D326F">
      <w:pPr>
        <w:jc w:val="both"/>
        <w:rPr>
          <w:b/>
          <w:u w:val="single"/>
          <w:lang w:val="sr-Latn-CS"/>
        </w:rPr>
      </w:pPr>
    </w:p>
    <w:p w:rsidR="003D326F" w:rsidRPr="00D33A0B" w:rsidRDefault="00936884" w:rsidP="003D326F">
      <w:pPr>
        <w:jc w:val="both"/>
        <w:rPr>
          <w:b/>
          <w:u w:val="single"/>
          <w:lang w:val="sr-Latn-CS"/>
        </w:rPr>
      </w:pPr>
      <w:r w:rsidRPr="00D33A0B">
        <w:rPr>
          <w:b/>
          <w:u w:val="single"/>
          <w:lang w:val="sr-Latn-CS"/>
        </w:rPr>
        <w:t>Uopšteno pritužbe na:</w:t>
      </w:r>
      <w:r w:rsidRPr="00D33A0B">
        <w:rPr>
          <w:lang w:val="sr-Latn-CS"/>
        </w:rPr>
        <w:t xml:space="preserve"> </w:t>
      </w:r>
      <w:r w:rsidR="003D326F" w:rsidRPr="00D33A0B">
        <w:rPr>
          <w:lang w:val="sr-Latn-CS"/>
        </w:rPr>
        <w:t>Buka, Bacanje smeća, Neljubaznost osoblja, Izvođenje radova, Nepoštovanje propisa</w:t>
      </w:r>
      <w:r w:rsidR="002A1B7D" w:rsidRPr="00D33A0B">
        <w:rPr>
          <w:lang w:val="sr-Latn-CS"/>
        </w:rPr>
        <w:t>.</w:t>
      </w:r>
    </w:p>
    <w:p w:rsidR="003D326F" w:rsidRPr="00D33A0B" w:rsidRDefault="00936884" w:rsidP="003D326F">
      <w:pPr>
        <w:jc w:val="both"/>
        <w:rPr>
          <w:lang w:val="sr-Latn-CS"/>
        </w:rPr>
      </w:pPr>
      <w:r w:rsidRPr="00D33A0B">
        <w:rPr>
          <w:b/>
          <w:u w:val="single"/>
          <w:lang w:val="sr-Latn-CS"/>
        </w:rPr>
        <w:t>Uopšteno informacije za:</w:t>
      </w:r>
      <w:r w:rsidRPr="00D33A0B">
        <w:rPr>
          <w:lang w:val="sr-Latn-CS"/>
        </w:rPr>
        <w:t xml:space="preserve"> </w:t>
      </w:r>
      <w:r w:rsidR="003D326F" w:rsidRPr="00D33A0B">
        <w:rPr>
          <w:lang w:val="sr-Latn-CS"/>
        </w:rPr>
        <w:t>Boravišnu taksu, Red vožnje, Kontakti autobuskih stanica, Regulativa za plaže, Brojevi službi, Informacije o call centru, Potrebna dokumenta za dolazak u Crnu Goru</w:t>
      </w:r>
      <w:r w:rsidR="002A1B7D" w:rsidRPr="00D33A0B">
        <w:rPr>
          <w:lang w:val="sr-Latn-CS"/>
        </w:rPr>
        <w:t>.</w:t>
      </w:r>
    </w:p>
    <w:p w:rsidR="00D732D7" w:rsidRPr="00D33A0B" w:rsidRDefault="00D732D7" w:rsidP="004549A7">
      <w:pPr>
        <w:jc w:val="both"/>
        <w:rPr>
          <w:lang w:val="sr-Latn-CS"/>
        </w:rPr>
      </w:pPr>
    </w:p>
    <w:p w:rsidR="002A2E1F" w:rsidRPr="00D33A0B" w:rsidRDefault="002A2E1F" w:rsidP="002A2E1F">
      <w:pPr>
        <w:rPr>
          <w:b/>
          <w:lang w:val="sr-Latn-CS"/>
        </w:rPr>
      </w:pPr>
      <w:r w:rsidRPr="00D33A0B">
        <w:rPr>
          <w:b/>
          <w:u w:val="single"/>
          <w:lang w:val="sr-Latn-CS"/>
        </w:rPr>
        <w:t>01.07. – 31.07.</w:t>
      </w:r>
      <w:r w:rsidRPr="00D33A0B">
        <w:rPr>
          <w:lang w:val="sr-Latn-CS"/>
        </w:rPr>
        <w:t xml:space="preserve"> - Služba telefona za informacije, sugestije, pritužbe i pohvale specijalnog broja </w:t>
      </w:r>
      <w:r w:rsidRPr="00D33A0B">
        <w:rPr>
          <w:b/>
          <w:lang w:val="sr-Latn-CS"/>
        </w:rPr>
        <w:t>08000 1300</w:t>
      </w:r>
      <w:r w:rsidRPr="00D33A0B">
        <w:rPr>
          <w:lang w:val="sr-Latn-CS"/>
        </w:rPr>
        <w:t xml:space="preserve">, za potrebe Nacionalne turističke ogranizacije, </w:t>
      </w:r>
      <w:r w:rsidRPr="00D33A0B">
        <w:rPr>
          <w:b/>
          <w:lang w:val="sr-Latn-CS"/>
        </w:rPr>
        <w:t>u periodu od 1. jula do 31. jula 2016. godine primila je ukupno 243  poziva. Od ukupnog broja 99 poziva se odnosilo na informacije i 144 poziva na pritužbe.</w:t>
      </w:r>
    </w:p>
    <w:p w:rsidR="002A2E1F" w:rsidRPr="00D33A0B" w:rsidRDefault="002A2E1F" w:rsidP="002A2E1F">
      <w:pPr>
        <w:rPr>
          <w:lang w:val="sr-Latn-CS"/>
        </w:rPr>
      </w:pPr>
    </w:p>
    <w:tbl>
      <w:tblPr>
        <w:tblStyle w:val="TableGrid"/>
        <w:tblW w:w="0" w:type="auto"/>
        <w:tblLook w:val="04A0"/>
      </w:tblPr>
      <w:tblGrid>
        <w:gridCol w:w="2660"/>
        <w:gridCol w:w="1417"/>
      </w:tblGrid>
      <w:tr w:rsidR="003D326F" w:rsidRPr="00D33A0B" w:rsidTr="003D326F">
        <w:tc>
          <w:tcPr>
            <w:tcW w:w="2660" w:type="dxa"/>
            <w:shd w:val="clear" w:color="auto" w:fill="000000" w:themeFill="text1"/>
          </w:tcPr>
          <w:p w:rsidR="003D326F" w:rsidRPr="00D33A0B" w:rsidRDefault="003D326F" w:rsidP="003D326F">
            <w:pPr>
              <w:jc w:val="both"/>
              <w:rPr>
                <w:lang w:val="sr-Latn-CS"/>
              </w:rPr>
            </w:pPr>
            <w:r w:rsidRPr="00D33A0B">
              <w:rPr>
                <w:lang w:val="sr-Latn-CS"/>
              </w:rPr>
              <w:t>01.07. – 31.07.</w:t>
            </w:r>
          </w:p>
        </w:tc>
        <w:tc>
          <w:tcPr>
            <w:tcW w:w="1417" w:type="dxa"/>
          </w:tcPr>
          <w:p w:rsidR="003D326F" w:rsidRPr="00D33A0B" w:rsidRDefault="003D326F" w:rsidP="003D326F">
            <w:pPr>
              <w:jc w:val="both"/>
              <w:rPr>
                <w:lang w:val="sr-Latn-CS"/>
              </w:rPr>
            </w:pPr>
          </w:p>
        </w:tc>
      </w:tr>
      <w:tr w:rsidR="003D326F" w:rsidRPr="00D33A0B" w:rsidTr="003D326F">
        <w:tc>
          <w:tcPr>
            <w:tcW w:w="2660" w:type="dxa"/>
          </w:tcPr>
          <w:p w:rsidR="003D326F" w:rsidRPr="00D33A0B" w:rsidRDefault="003D326F" w:rsidP="003D326F">
            <w:pPr>
              <w:jc w:val="both"/>
              <w:rPr>
                <w:lang w:val="sr-Latn-CS"/>
              </w:rPr>
            </w:pPr>
            <w:r w:rsidRPr="00D33A0B">
              <w:rPr>
                <w:lang w:val="sr-Latn-CS"/>
              </w:rPr>
              <w:t>Informacije</w:t>
            </w:r>
          </w:p>
        </w:tc>
        <w:tc>
          <w:tcPr>
            <w:tcW w:w="1417" w:type="dxa"/>
          </w:tcPr>
          <w:p w:rsidR="003D326F" w:rsidRPr="00D33A0B" w:rsidRDefault="003D326F" w:rsidP="003D326F">
            <w:pPr>
              <w:jc w:val="center"/>
              <w:rPr>
                <w:lang w:val="sr-Latn-CS"/>
              </w:rPr>
            </w:pPr>
            <w:r w:rsidRPr="00D33A0B">
              <w:rPr>
                <w:lang w:val="sr-Latn-CS"/>
              </w:rPr>
              <w:t>99</w:t>
            </w:r>
          </w:p>
        </w:tc>
      </w:tr>
      <w:tr w:rsidR="003D326F" w:rsidRPr="00D33A0B" w:rsidTr="003D326F">
        <w:tc>
          <w:tcPr>
            <w:tcW w:w="2660" w:type="dxa"/>
          </w:tcPr>
          <w:p w:rsidR="003D326F" w:rsidRPr="00D33A0B" w:rsidRDefault="003D326F" w:rsidP="003D326F">
            <w:pPr>
              <w:jc w:val="both"/>
              <w:rPr>
                <w:lang w:val="sr-Latn-CS"/>
              </w:rPr>
            </w:pPr>
            <w:r w:rsidRPr="00D33A0B">
              <w:rPr>
                <w:lang w:val="sr-Latn-CS"/>
              </w:rPr>
              <w:t>Pritužbe</w:t>
            </w:r>
          </w:p>
        </w:tc>
        <w:tc>
          <w:tcPr>
            <w:tcW w:w="1417" w:type="dxa"/>
          </w:tcPr>
          <w:p w:rsidR="003D326F" w:rsidRPr="00D33A0B" w:rsidRDefault="003D326F" w:rsidP="003D326F">
            <w:pPr>
              <w:jc w:val="center"/>
              <w:rPr>
                <w:lang w:val="sr-Latn-CS"/>
              </w:rPr>
            </w:pPr>
            <w:r w:rsidRPr="00D33A0B">
              <w:rPr>
                <w:lang w:val="sr-Latn-CS"/>
              </w:rPr>
              <w:t>144</w:t>
            </w:r>
          </w:p>
        </w:tc>
      </w:tr>
      <w:tr w:rsidR="003D326F" w:rsidRPr="00D33A0B" w:rsidTr="003D326F">
        <w:tc>
          <w:tcPr>
            <w:tcW w:w="2660" w:type="dxa"/>
          </w:tcPr>
          <w:p w:rsidR="003D326F" w:rsidRPr="00D33A0B" w:rsidRDefault="003D326F" w:rsidP="003D326F">
            <w:pPr>
              <w:jc w:val="both"/>
              <w:rPr>
                <w:lang w:val="sr-Latn-CS"/>
              </w:rPr>
            </w:pPr>
            <w:r w:rsidRPr="00D33A0B">
              <w:rPr>
                <w:lang w:val="sr-Latn-CS"/>
              </w:rPr>
              <w:t>Pohvale</w:t>
            </w:r>
          </w:p>
        </w:tc>
        <w:tc>
          <w:tcPr>
            <w:tcW w:w="1417" w:type="dxa"/>
          </w:tcPr>
          <w:p w:rsidR="003D326F" w:rsidRPr="00D33A0B" w:rsidRDefault="003D326F" w:rsidP="003D326F">
            <w:pPr>
              <w:jc w:val="center"/>
              <w:rPr>
                <w:lang w:val="sr-Latn-CS"/>
              </w:rPr>
            </w:pPr>
            <w:r w:rsidRPr="00D33A0B">
              <w:rPr>
                <w:lang w:val="sr-Latn-CS"/>
              </w:rPr>
              <w:t>0</w:t>
            </w:r>
          </w:p>
        </w:tc>
      </w:tr>
      <w:tr w:rsidR="003D326F" w:rsidRPr="00D33A0B" w:rsidTr="003D326F">
        <w:tc>
          <w:tcPr>
            <w:tcW w:w="2660" w:type="dxa"/>
          </w:tcPr>
          <w:p w:rsidR="003D326F" w:rsidRPr="00D33A0B" w:rsidRDefault="003D326F" w:rsidP="003D326F">
            <w:pPr>
              <w:jc w:val="right"/>
              <w:rPr>
                <w:b/>
                <w:lang w:val="sr-Latn-CS"/>
              </w:rPr>
            </w:pPr>
            <w:r w:rsidRPr="00D33A0B">
              <w:rPr>
                <w:b/>
                <w:lang w:val="sr-Latn-CS"/>
              </w:rPr>
              <w:t>Ukupno:</w:t>
            </w:r>
          </w:p>
        </w:tc>
        <w:tc>
          <w:tcPr>
            <w:tcW w:w="1417" w:type="dxa"/>
          </w:tcPr>
          <w:p w:rsidR="003D326F" w:rsidRPr="00D33A0B" w:rsidRDefault="003D326F" w:rsidP="003D326F">
            <w:pPr>
              <w:jc w:val="center"/>
              <w:rPr>
                <w:lang w:val="sr-Latn-CS"/>
              </w:rPr>
            </w:pPr>
            <w:r w:rsidRPr="00D33A0B">
              <w:rPr>
                <w:lang w:val="sr-Latn-CS"/>
              </w:rPr>
              <w:t>243</w:t>
            </w:r>
          </w:p>
        </w:tc>
      </w:tr>
    </w:tbl>
    <w:p w:rsidR="00C10DEB" w:rsidRPr="00D33A0B" w:rsidRDefault="00C10DEB" w:rsidP="003D326F">
      <w:pPr>
        <w:jc w:val="both"/>
        <w:rPr>
          <w:b/>
          <w:u w:val="single"/>
          <w:lang w:val="sr-Latn-CS"/>
        </w:rPr>
      </w:pPr>
    </w:p>
    <w:p w:rsidR="003D326F" w:rsidRPr="00D33A0B" w:rsidRDefault="00936884" w:rsidP="003D326F">
      <w:pPr>
        <w:jc w:val="both"/>
        <w:rPr>
          <w:b/>
          <w:u w:val="single"/>
          <w:lang w:val="sr-Latn-CS"/>
        </w:rPr>
      </w:pPr>
      <w:r w:rsidRPr="00D33A0B">
        <w:rPr>
          <w:b/>
          <w:u w:val="single"/>
          <w:lang w:val="sr-Latn-CS"/>
        </w:rPr>
        <w:t>Uopšteno pritužbe na:</w:t>
      </w:r>
      <w:r w:rsidRPr="00D33A0B">
        <w:rPr>
          <w:lang w:val="sr-Latn-CS"/>
        </w:rPr>
        <w:t xml:space="preserve"> </w:t>
      </w:r>
      <w:r w:rsidR="003D326F" w:rsidRPr="00D33A0B">
        <w:rPr>
          <w:lang w:val="sr-Latn-CS"/>
        </w:rPr>
        <w:t>Buka, Dugo čekanje na graničnim prelazima, Bacanje smeća, Neljubaznost osoblja, Nepoštovanje propisa o slobodnom dijelu plaže, Nelegalni izdavaoci smještaja, Nelegalni rad ugostiteljskih objekata</w:t>
      </w:r>
      <w:r w:rsidR="002A1B7D" w:rsidRPr="00D33A0B">
        <w:rPr>
          <w:lang w:val="sr-Latn-CS"/>
        </w:rPr>
        <w:t>.</w:t>
      </w:r>
    </w:p>
    <w:p w:rsidR="003D326F" w:rsidRPr="00D33A0B" w:rsidRDefault="00936884" w:rsidP="003D326F">
      <w:pPr>
        <w:jc w:val="both"/>
        <w:rPr>
          <w:lang w:val="sr-Latn-CS"/>
        </w:rPr>
      </w:pPr>
      <w:r w:rsidRPr="00D33A0B">
        <w:rPr>
          <w:b/>
          <w:u w:val="single"/>
          <w:lang w:val="sr-Latn-CS"/>
        </w:rPr>
        <w:t>Uopšteno informacije za:</w:t>
      </w:r>
      <w:r w:rsidRPr="00D33A0B">
        <w:rPr>
          <w:lang w:val="sr-Latn-CS"/>
        </w:rPr>
        <w:t xml:space="preserve"> </w:t>
      </w:r>
      <w:r w:rsidR="003D326F" w:rsidRPr="00D33A0B">
        <w:rPr>
          <w:lang w:val="sr-Latn-CS"/>
        </w:rPr>
        <w:t>Iznosu boravišne takse i gdje se može uplatiti, Red vožnje, Kontakti institucija, Brojevi službi, Informacije o viznom režimu, Potrebna dokumenta za dolazak u Crnu Goru, Informacije o smještaju, Informacije o manifestacijama, Informacije o uslovima na putu i vremenskim prilikama</w:t>
      </w:r>
      <w:r w:rsidR="002A1B7D" w:rsidRPr="00D33A0B">
        <w:rPr>
          <w:lang w:val="sr-Latn-CS"/>
        </w:rPr>
        <w:t>.</w:t>
      </w:r>
    </w:p>
    <w:p w:rsidR="003D326F" w:rsidRPr="00D33A0B" w:rsidRDefault="003D326F" w:rsidP="003D326F">
      <w:pPr>
        <w:jc w:val="both"/>
        <w:rPr>
          <w:lang w:val="sr-Latn-CS"/>
        </w:rPr>
      </w:pPr>
    </w:p>
    <w:p w:rsidR="002A2E1F" w:rsidRPr="00D33A0B" w:rsidRDefault="002A2E1F" w:rsidP="002A2E1F">
      <w:pPr>
        <w:jc w:val="both"/>
        <w:rPr>
          <w:lang w:val="sr-Latn-CS"/>
        </w:rPr>
      </w:pPr>
      <w:r w:rsidRPr="00D33A0B">
        <w:rPr>
          <w:b/>
          <w:u w:val="single"/>
          <w:lang w:val="sr-Latn-CS"/>
        </w:rPr>
        <w:t>01.08. – 31.08. -</w:t>
      </w:r>
      <w:r w:rsidRPr="00D33A0B">
        <w:rPr>
          <w:lang w:val="sr-Latn-CS"/>
        </w:rPr>
        <w:t xml:space="preserve"> Služba telefona za informacije, sugestije, pritužbe i pohvale specijalnog broja </w:t>
      </w:r>
      <w:r w:rsidRPr="00D33A0B">
        <w:rPr>
          <w:b/>
          <w:lang w:val="sr-Latn-CS"/>
        </w:rPr>
        <w:t>08000 1300</w:t>
      </w:r>
      <w:r w:rsidRPr="00D33A0B">
        <w:rPr>
          <w:lang w:val="sr-Latn-CS"/>
        </w:rPr>
        <w:t xml:space="preserve">, za potrebe Nacionalne turističke ogranizacije, </w:t>
      </w:r>
      <w:r w:rsidRPr="00D33A0B">
        <w:rPr>
          <w:b/>
          <w:lang w:val="sr-Latn-CS"/>
        </w:rPr>
        <w:t>u periodu od 1. avgusta do 31. avgusta 2016. godine primila je ukupno 151 poziv. Od ukupnog broja 66 poziva se odnosilo na informacije,  83 poziva na pritužbe i 2 poziva na pohvale.</w:t>
      </w:r>
    </w:p>
    <w:p w:rsidR="002A2E1F" w:rsidRPr="00D33A0B" w:rsidRDefault="002A2E1F" w:rsidP="002A2E1F">
      <w:pPr>
        <w:jc w:val="both"/>
        <w:rPr>
          <w:lang w:val="sr-Latn-CS"/>
        </w:rPr>
      </w:pPr>
    </w:p>
    <w:tbl>
      <w:tblPr>
        <w:tblStyle w:val="TableGrid"/>
        <w:tblW w:w="0" w:type="auto"/>
        <w:tblLook w:val="04A0"/>
      </w:tblPr>
      <w:tblGrid>
        <w:gridCol w:w="2660"/>
        <w:gridCol w:w="1417"/>
      </w:tblGrid>
      <w:tr w:rsidR="003D326F" w:rsidRPr="00D33A0B" w:rsidTr="003D326F">
        <w:tc>
          <w:tcPr>
            <w:tcW w:w="2660" w:type="dxa"/>
            <w:shd w:val="clear" w:color="auto" w:fill="000000" w:themeFill="text1"/>
          </w:tcPr>
          <w:p w:rsidR="003D326F" w:rsidRPr="00D33A0B" w:rsidRDefault="003D326F" w:rsidP="003D326F">
            <w:pPr>
              <w:jc w:val="both"/>
              <w:rPr>
                <w:lang w:val="sr-Latn-CS"/>
              </w:rPr>
            </w:pPr>
            <w:r w:rsidRPr="00D33A0B">
              <w:rPr>
                <w:lang w:val="sr-Latn-CS"/>
              </w:rPr>
              <w:t>01.08. – 31.08.</w:t>
            </w:r>
          </w:p>
        </w:tc>
        <w:tc>
          <w:tcPr>
            <w:tcW w:w="1417" w:type="dxa"/>
          </w:tcPr>
          <w:p w:rsidR="003D326F" w:rsidRPr="00D33A0B" w:rsidRDefault="003D326F" w:rsidP="003D326F">
            <w:pPr>
              <w:jc w:val="both"/>
              <w:rPr>
                <w:lang w:val="sr-Latn-CS"/>
              </w:rPr>
            </w:pPr>
          </w:p>
        </w:tc>
      </w:tr>
      <w:tr w:rsidR="003D326F" w:rsidRPr="00D33A0B" w:rsidTr="003D326F">
        <w:tc>
          <w:tcPr>
            <w:tcW w:w="2660" w:type="dxa"/>
          </w:tcPr>
          <w:p w:rsidR="003D326F" w:rsidRPr="00D33A0B" w:rsidRDefault="003D326F" w:rsidP="003D326F">
            <w:pPr>
              <w:jc w:val="both"/>
              <w:rPr>
                <w:lang w:val="sr-Latn-CS"/>
              </w:rPr>
            </w:pPr>
            <w:r w:rsidRPr="00D33A0B">
              <w:rPr>
                <w:lang w:val="sr-Latn-CS"/>
              </w:rPr>
              <w:t>Informacije</w:t>
            </w:r>
          </w:p>
        </w:tc>
        <w:tc>
          <w:tcPr>
            <w:tcW w:w="1417" w:type="dxa"/>
          </w:tcPr>
          <w:p w:rsidR="003D326F" w:rsidRPr="00D33A0B" w:rsidRDefault="003D326F" w:rsidP="003D326F">
            <w:pPr>
              <w:jc w:val="center"/>
              <w:rPr>
                <w:lang w:val="sr-Latn-CS"/>
              </w:rPr>
            </w:pPr>
            <w:r w:rsidRPr="00D33A0B">
              <w:rPr>
                <w:lang w:val="sr-Latn-CS"/>
              </w:rPr>
              <w:t>66</w:t>
            </w:r>
          </w:p>
        </w:tc>
      </w:tr>
      <w:tr w:rsidR="003D326F" w:rsidRPr="00D33A0B" w:rsidTr="003D326F">
        <w:tc>
          <w:tcPr>
            <w:tcW w:w="2660" w:type="dxa"/>
          </w:tcPr>
          <w:p w:rsidR="003D326F" w:rsidRPr="00D33A0B" w:rsidRDefault="003D326F" w:rsidP="003D326F">
            <w:pPr>
              <w:jc w:val="both"/>
              <w:rPr>
                <w:lang w:val="sr-Latn-CS"/>
              </w:rPr>
            </w:pPr>
            <w:r w:rsidRPr="00D33A0B">
              <w:rPr>
                <w:lang w:val="sr-Latn-CS"/>
              </w:rPr>
              <w:t>Pritužbe</w:t>
            </w:r>
          </w:p>
        </w:tc>
        <w:tc>
          <w:tcPr>
            <w:tcW w:w="1417" w:type="dxa"/>
          </w:tcPr>
          <w:p w:rsidR="003D326F" w:rsidRPr="00D33A0B" w:rsidRDefault="003D326F" w:rsidP="003D326F">
            <w:pPr>
              <w:jc w:val="center"/>
              <w:rPr>
                <w:lang w:val="sr-Latn-CS"/>
              </w:rPr>
            </w:pPr>
            <w:r w:rsidRPr="00D33A0B">
              <w:rPr>
                <w:lang w:val="sr-Latn-CS"/>
              </w:rPr>
              <w:t>83</w:t>
            </w:r>
          </w:p>
        </w:tc>
      </w:tr>
      <w:tr w:rsidR="003D326F" w:rsidRPr="00D33A0B" w:rsidTr="003D326F">
        <w:tc>
          <w:tcPr>
            <w:tcW w:w="2660" w:type="dxa"/>
          </w:tcPr>
          <w:p w:rsidR="003D326F" w:rsidRPr="00D33A0B" w:rsidRDefault="003D326F" w:rsidP="003D326F">
            <w:pPr>
              <w:jc w:val="both"/>
              <w:rPr>
                <w:lang w:val="sr-Latn-CS"/>
              </w:rPr>
            </w:pPr>
            <w:r w:rsidRPr="00D33A0B">
              <w:rPr>
                <w:lang w:val="sr-Latn-CS"/>
              </w:rPr>
              <w:t>Pohvale</w:t>
            </w:r>
          </w:p>
        </w:tc>
        <w:tc>
          <w:tcPr>
            <w:tcW w:w="1417" w:type="dxa"/>
          </w:tcPr>
          <w:p w:rsidR="003D326F" w:rsidRPr="00D33A0B" w:rsidRDefault="003D326F" w:rsidP="003D326F">
            <w:pPr>
              <w:jc w:val="center"/>
              <w:rPr>
                <w:lang w:val="sr-Latn-CS"/>
              </w:rPr>
            </w:pPr>
            <w:r w:rsidRPr="00D33A0B">
              <w:rPr>
                <w:lang w:val="sr-Latn-CS"/>
              </w:rPr>
              <w:t>2</w:t>
            </w:r>
          </w:p>
        </w:tc>
      </w:tr>
      <w:tr w:rsidR="003D326F" w:rsidRPr="00D33A0B" w:rsidTr="003D326F">
        <w:tc>
          <w:tcPr>
            <w:tcW w:w="2660" w:type="dxa"/>
          </w:tcPr>
          <w:p w:rsidR="003D326F" w:rsidRPr="00D33A0B" w:rsidRDefault="003D326F" w:rsidP="003D326F">
            <w:pPr>
              <w:jc w:val="right"/>
              <w:rPr>
                <w:b/>
                <w:lang w:val="sr-Latn-CS"/>
              </w:rPr>
            </w:pPr>
            <w:r w:rsidRPr="00D33A0B">
              <w:rPr>
                <w:b/>
                <w:lang w:val="sr-Latn-CS"/>
              </w:rPr>
              <w:t>Ukupno:</w:t>
            </w:r>
          </w:p>
        </w:tc>
        <w:tc>
          <w:tcPr>
            <w:tcW w:w="1417" w:type="dxa"/>
          </w:tcPr>
          <w:p w:rsidR="003D326F" w:rsidRPr="00D33A0B" w:rsidRDefault="003D326F" w:rsidP="003D326F">
            <w:pPr>
              <w:jc w:val="center"/>
              <w:rPr>
                <w:lang w:val="sr-Latn-CS"/>
              </w:rPr>
            </w:pPr>
            <w:r w:rsidRPr="00D33A0B">
              <w:rPr>
                <w:lang w:val="sr-Latn-CS"/>
              </w:rPr>
              <w:t>151</w:t>
            </w:r>
          </w:p>
        </w:tc>
      </w:tr>
    </w:tbl>
    <w:p w:rsidR="007E6C18" w:rsidRPr="00D33A0B" w:rsidRDefault="007E6C18" w:rsidP="003D326F">
      <w:pPr>
        <w:jc w:val="both"/>
        <w:rPr>
          <w:b/>
          <w:u w:val="single"/>
          <w:lang w:val="sr-Latn-CS"/>
        </w:rPr>
      </w:pPr>
    </w:p>
    <w:p w:rsidR="003D326F" w:rsidRPr="00D33A0B" w:rsidRDefault="00936884" w:rsidP="003D326F">
      <w:pPr>
        <w:jc w:val="both"/>
        <w:rPr>
          <w:b/>
          <w:u w:val="single"/>
          <w:lang w:val="sr-Latn-CS"/>
        </w:rPr>
      </w:pPr>
      <w:r w:rsidRPr="00D33A0B">
        <w:rPr>
          <w:b/>
          <w:u w:val="single"/>
          <w:lang w:val="sr-Latn-CS"/>
        </w:rPr>
        <w:t>Uopšteno pritužbe na:</w:t>
      </w:r>
      <w:r w:rsidRPr="00D33A0B">
        <w:rPr>
          <w:lang w:val="sr-Latn-CS"/>
        </w:rPr>
        <w:t xml:space="preserve"> </w:t>
      </w:r>
      <w:r w:rsidR="003D326F" w:rsidRPr="00D33A0B">
        <w:rPr>
          <w:lang w:val="sr-Latn-CS"/>
        </w:rPr>
        <w:t>Buka, Neprofesionalno poslovanje hotela, Zastoji u saobraćaju, Smeće i deponije, Generalno neljubaznost u ugostiteljskim objektima</w:t>
      </w:r>
      <w:r w:rsidRPr="00D33A0B">
        <w:rPr>
          <w:lang w:val="sr-Latn-CS"/>
        </w:rPr>
        <w:t xml:space="preserve">, problemi sa naplatom boravišne </w:t>
      </w:r>
      <w:r w:rsidRPr="00D33A0B">
        <w:rPr>
          <w:lang w:val="sr-Latn-CS"/>
        </w:rPr>
        <w:lastRenderedPageBreak/>
        <w:t>takse, neizdavanje fiskalnih računa, nestašica električne energije, nepoštovanje propisa o kupalištima (neurednost plaža, skuteri i brodići u blizini plaže, nepoštovanje propisa o slobodnom dijelu plaže), nelegalno izdavanje smještaja, taxi usluge, nelegalna gradnja, naplata parkinga</w:t>
      </w:r>
    </w:p>
    <w:p w:rsidR="003D326F" w:rsidRPr="00D33A0B" w:rsidRDefault="00936884" w:rsidP="003D326F">
      <w:pPr>
        <w:jc w:val="both"/>
        <w:rPr>
          <w:lang w:val="sr-Latn-CS"/>
        </w:rPr>
      </w:pPr>
      <w:r w:rsidRPr="00D33A0B">
        <w:rPr>
          <w:b/>
          <w:u w:val="single"/>
          <w:lang w:val="sr-Latn-CS"/>
        </w:rPr>
        <w:t>Uopšteno informacije za:</w:t>
      </w:r>
      <w:r w:rsidRPr="00D33A0B">
        <w:rPr>
          <w:lang w:val="sr-Latn-CS"/>
        </w:rPr>
        <w:t xml:space="preserve"> </w:t>
      </w:r>
      <w:r w:rsidR="003D326F" w:rsidRPr="00D33A0B">
        <w:rPr>
          <w:lang w:val="sr-Latn-CS"/>
        </w:rPr>
        <w:t>Iznosu boravišne takse i gdje se može uplatiti, Red vožnje, Kontakti institucija, Brojevi službi, Informacije o viznom režimu, Potrebna dokumenta za dolazak u Crnu Goru, Informacije o smještaju, Informacije o manifestacijama, Informacije o uslovima na putu i vremenskim prilikama</w:t>
      </w:r>
      <w:r w:rsidRPr="00D33A0B">
        <w:rPr>
          <w:lang w:val="sr-Latn-CS"/>
        </w:rPr>
        <w:t>, Informacije o turističkim ponudama</w:t>
      </w:r>
      <w:r w:rsidR="002A1B7D" w:rsidRPr="00D33A0B">
        <w:rPr>
          <w:lang w:val="sr-Latn-CS"/>
        </w:rPr>
        <w:t>.</w:t>
      </w:r>
    </w:p>
    <w:p w:rsidR="00D732D7" w:rsidRPr="00D33A0B" w:rsidRDefault="00D732D7" w:rsidP="00D732D7">
      <w:pPr>
        <w:jc w:val="both"/>
        <w:rPr>
          <w:rFonts w:cs="Calibri"/>
          <w:lang w:val="sr-Latn-CS"/>
        </w:rPr>
      </w:pPr>
      <w:r w:rsidRPr="00D33A0B">
        <w:rPr>
          <w:rFonts w:cs="Calibri"/>
          <w:lang w:val="sr-Latn-CS"/>
        </w:rPr>
        <w:t>Svaka primljena žalba, pohvala se evidentira pri čemu automatski slijedi faza procesuiranja. Kontaktira se inspekcija ili ustanova koja je nadležna za određenu žalbu i turista ukoliko želi povratnu informaciju informiše se u toku istog ili narednog dana, tako što ponovo kontaktira centralu Call Centra i dežurni operater mu daje povratnu informaciju o ishodu intervencije (ako mu je proslijeđena od strane nadležne inspekcije).</w:t>
      </w:r>
    </w:p>
    <w:p w:rsidR="00D732D7" w:rsidRPr="00D33A0B" w:rsidRDefault="00D732D7" w:rsidP="00D732D7">
      <w:pPr>
        <w:jc w:val="both"/>
        <w:rPr>
          <w:rFonts w:cs="Calibri"/>
          <w:lang w:val="sr-Latn-CS"/>
        </w:rPr>
      </w:pPr>
      <w:r w:rsidRPr="00D33A0B">
        <w:rPr>
          <w:rFonts w:cs="Calibri"/>
          <w:b/>
          <w:lang w:val="sr-Latn-CS"/>
        </w:rPr>
        <w:t xml:space="preserve">Napomena: </w:t>
      </w:r>
      <w:r w:rsidRPr="00D33A0B">
        <w:rPr>
          <w:rFonts w:cs="Calibri"/>
          <w:lang w:val="sr-Latn-CS"/>
        </w:rPr>
        <w:t>Ponekad jedan poziv podrazumijeva više različitih žalbi, stoga je broj žalbi u tabeli veći nego što je gore navedeno (jer je gore navedeno po broju poziva).</w:t>
      </w:r>
    </w:p>
    <w:p w:rsidR="00D732D7" w:rsidRPr="00D33A0B" w:rsidRDefault="00D732D7" w:rsidP="00E5449B">
      <w:pPr>
        <w:jc w:val="both"/>
        <w:rPr>
          <w:rStyle w:val="Emphasis"/>
          <w:i w:val="0"/>
          <w:lang w:val="sr-Latn-CS"/>
        </w:rPr>
      </w:pPr>
    </w:p>
    <w:p w:rsidR="00E5449B" w:rsidRPr="00D33A0B" w:rsidRDefault="00E5449B" w:rsidP="00E5449B">
      <w:pPr>
        <w:jc w:val="both"/>
        <w:rPr>
          <w:u w:val="single"/>
          <w:lang w:val="sr-Latn-CS"/>
        </w:rPr>
      </w:pPr>
      <w:r w:rsidRPr="00D33A0B">
        <w:rPr>
          <w:b/>
          <w:u w:val="single"/>
          <w:lang w:val="sr-Latn-CS"/>
        </w:rPr>
        <w:t>OPŠTINA TIVAT</w:t>
      </w:r>
      <w:r w:rsidRPr="00D33A0B">
        <w:rPr>
          <w:u w:val="single"/>
          <w:lang w:val="sr-Latn-CS"/>
        </w:rPr>
        <w:t xml:space="preserve"> </w:t>
      </w:r>
    </w:p>
    <w:p w:rsidR="00E5449B" w:rsidRPr="00D33A0B" w:rsidRDefault="00E5449B" w:rsidP="00E5449B">
      <w:pPr>
        <w:jc w:val="both"/>
        <w:rPr>
          <w:lang w:val="sr-Latn-CS"/>
        </w:rPr>
      </w:pPr>
    </w:p>
    <w:p w:rsidR="004549A7" w:rsidRPr="00D33A0B" w:rsidRDefault="004549A7" w:rsidP="004549A7">
      <w:pPr>
        <w:jc w:val="both"/>
        <w:rPr>
          <w:lang w:val="sr-Latn-CS"/>
        </w:rPr>
      </w:pPr>
      <w:r w:rsidRPr="00D33A0B">
        <w:rPr>
          <w:lang w:val="sr-Latn-CS"/>
        </w:rPr>
        <w:t>U prvih osam mjeseci 2016. godine izdata su 64 nova rješenja o pružanju usluga smještaja u domaćinstvu, 69 riješenja o rekategorizaciji, te 6 odjava djelatnosti. U periodu od 01.01.2016. do 31.08.2019. godine po osnovu Boravišne takse naplaćeno je 283.081,73 € što je povećanje od 67 %, po osnovu Članskog doprinosa turističkim organizacijama naplaćeno je 70.699,27 €, što je povećanje od 36 %, dok je po osnovu Turističke takse naaplaćeno 171.809, 95 €, što je povećanje od 18 % u odnosu na isti period prošle godine.</w:t>
      </w:r>
    </w:p>
    <w:p w:rsidR="004549A7" w:rsidRPr="00D33A0B" w:rsidRDefault="004549A7" w:rsidP="004549A7">
      <w:pPr>
        <w:jc w:val="both"/>
        <w:rPr>
          <w:lang w:val="sr-Latn-CS"/>
        </w:rPr>
      </w:pPr>
    </w:p>
    <w:p w:rsidR="004549A7" w:rsidRPr="00D33A0B" w:rsidRDefault="004549A7" w:rsidP="007E6C18">
      <w:pPr>
        <w:jc w:val="center"/>
        <w:rPr>
          <w:lang w:val="sr-Latn-CS"/>
        </w:rPr>
      </w:pPr>
      <w:r w:rsidRPr="00D33A0B">
        <w:rPr>
          <w:lang w:val="sr-Latn-CS"/>
        </w:rPr>
        <w:t>PREGLED SMJEŠTAJNE STRUKTURE NA OSNOVU IZDATIH RJEŠENJA U PRVIH 8 MJESECI 2016. GOINE</w:t>
      </w:r>
    </w:p>
    <w:p w:rsidR="007E6C18" w:rsidRPr="00D33A0B" w:rsidRDefault="007E6C18" w:rsidP="007E6C18">
      <w:pPr>
        <w:jc w:val="center"/>
        <w:rPr>
          <w:lang w:val="sr-Latn-CS"/>
        </w:rPr>
      </w:pPr>
    </w:p>
    <w:tbl>
      <w:tblPr>
        <w:tblStyle w:val="TableGrid"/>
        <w:tblW w:w="9747" w:type="dxa"/>
        <w:tblLook w:val="04A0"/>
      </w:tblPr>
      <w:tblGrid>
        <w:gridCol w:w="2776"/>
        <w:gridCol w:w="1160"/>
        <w:gridCol w:w="1275"/>
        <w:gridCol w:w="1276"/>
        <w:gridCol w:w="1276"/>
        <w:gridCol w:w="1984"/>
      </w:tblGrid>
      <w:tr w:rsidR="004549A7" w:rsidRPr="00D33A0B" w:rsidTr="00BA2BC1">
        <w:tc>
          <w:tcPr>
            <w:tcW w:w="2776" w:type="dxa"/>
          </w:tcPr>
          <w:p w:rsidR="004549A7" w:rsidRPr="00D33A0B" w:rsidRDefault="004549A7" w:rsidP="00BA2BC1">
            <w:pPr>
              <w:rPr>
                <w:b/>
              </w:rPr>
            </w:pPr>
            <w:r w:rsidRPr="00D33A0B">
              <w:rPr>
                <w:b/>
              </w:rPr>
              <w:t>VRSTA SMJEŠTAJNE JEDINICE</w:t>
            </w:r>
          </w:p>
        </w:tc>
        <w:tc>
          <w:tcPr>
            <w:tcW w:w="1160" w:type="dxa"/>
          </w:tcPr>
          <w:p w:rsidR="004549A7" w:rsidRPr="00D33A0B" w:rsidRDefault="004549A7" w:rsidP="00BA2BC1">
            <w:pPr>
              <w:jc w:val="center"/>
            </w:pPr>
            <w:r w:rsidRPr="00D33A0B">
              <w:t>4 ****</w:t>
            </w:r>
          </w:p>
        </w:tc>
        <w:tc>
          <w:tcPr>
            <w:tcW w:w="1275" w:type="dxa"/>
          </w:tcPr>
          <w:p w:rsidR="004549A7" w:rsidRPr="00D33A0B" w:rsidRDefault="004549A7" w:rsidP="00BA2BC1">
            <w:pPr>
              <w:jc w:val="center"/>
            </w:pPr>
            <w:r w:rsidRPr="00D33A0B">
              <w:t>3***</w:t>
            </w:r>
          </w:p>
        </w:tc>
        <w:tc>
          <w:tcPr>
            <w:tcW w:w="1276" w:type="dxa"/>
          </w:tcPr>
          <w:p w:rsidR="004549A7" w:rsidRPr="00D33A0B" w:rsidRDefault="004549A7" w:rsidP="00BA2BC1">
            <w:pPr>
              <w:jc w:val="center"/>
            </w:pPr>
            <w:r w:rsidRPr="00D33A0B">
              <w:t>2**</w:t>
            </w:r>
          </w:p>
        </w:tc>
        <w:tc>
          <w:tcPr>
            <w:tcW w:w="1276" w:type="dxa"/>
          </w:tcPr>
          <w:p w:rsidR="004549A7" w:rsidRPr="00D33A0B" w:rsidRDefault="004549A7" w:rsidP="00BA2BC1">
            <w:pPr>
              <w:jc w:val="center"/>
            </w:pPr>
            <w:r w:rsidRPr="00D33A0B">
              <w:t>1*</w:t>
            </w:r>
          </w:p>
        </w:tc>
        <w:tc>
          <w:tcPr>
            <w:tcW w:w="1984" w:type="dxa"/>
          </w:tcPr>
          <w:p w:rsidR="004549A7" w:rsidRPr="00D33A0B" w:rsidRDefault="004549A7" w:rsidP="00BA2BC1">
            <w:pPr>
              <w:jc w:val="center"/>
              <w:rPr>
                <w:b/>
              </w:rPr>
            </w:pPr>
            <w:r w:rsidRPr="00D33A0B">
              <w:rPr>
                <w:b/>
              </w:rPr>
              <w:t>UKUPNO</w:t>
            </w:r>
          </w:p>
        </w:tc>
      </w:tr>
      <w:tr w:rsidR="004549A7" w:rsidRPr="00D33A0B" w:rsidTr="00BA2BC1">
        <w:tc>
          <w:tcPr>
            <w:tcW w:w="2776" w:type="dxa"/>
            <w:shd w:val="clear" w:color="auto" w:fill="BFBFBF" w:themeFill="background1" w:themeFillShade="BF"/>
          </w:tcPr>
          <w:p w:rsidR="004549A7" w:rsidRPr="00D33A0B" w:rsidRDefault="004549A7" w:rsidP="00BA2BC1">
            <w:pPr>
              <w:rPr>
                <w:b/>
              </w:rPr>
            </w:pPr>
            <w:r w:rsidRPr="00D33A0B">
              <w:rPr>
                <w:b/>
              </w:rPr>
              <w:t>SOBE</w:t>
            </w:r>
          </w:p>
        </w:tc>
        <w:tc>
          <w:tcPr>
            <w:tcW w:w="1160" w:type="dxa"/>
            <w:shd w:val="clear" w:color="auto" w:fill="BFBFBF" w:themeFill="background1" w:themeFillShade="BF"/>
          </w:tcPr>
          <w:p w:rsidR="004549A7" w:rsidRPr="00D33A0B" w:rsidRDefault="004549A7" w:rsidP="00BA2BC1">
            <w:pPr>
              <w:jc w:val="center"/>
            </w:pPr>
            <w:r w:rsidRPr="00D33A0B">
              <w:t>6</w:t>
            </w:r>
          </w:p>
        </w:tc>
        <w:tc>
          <w:tcPr>
            <w:tcW w:w="1275" w:type="dxa"/>
            <w:shd w:val="clear" w:color="auto" w:fill="BFBFBF" w:themeFill="background1" w:themeFillShade="BF"/>
          </w:tcPr>
          <w:p w:rsidR="004549A7" w:rsidRPr="00D33A0B" w:rsidRDefault="004549A7" w:rsidP="00BA2BC1">
            <w:pPr>
              <w:jc w:val="center"/>
            </w:pPr>
            <w:r w:rsidRPr="00D33A0B">
              <w:t>18</w:t>
            </w:r>
          </w:p>
        </w:tc>
        <w:tc>
          <w:tcPr>
            <w:tcW w:w="1276" w:type="dxa"/>
            <w:shd w:val="clear" w:color="auto" w:fill="BFBFBF" w:themeFill="background1" w:themeFillShade="BF"/>
          </w:tcPr>
          <w:p w:rsidR="004549A7" w:rsidRPr="00D33A0B" w:rsidRDefault="004549A7" w:rsidP="00BA2BC1">
            <w:pPr>
              <w:jc w:val="center"/>
            </w:pPr>
            <w:r w:rsidRPr="00D33A0B">
              <w:t>15</w:t>
            </w:r>
          </w:p>
        </w:tc>
        <w:tc>
          <w:tcPr>
            <w:tcW w:w="1276" w:type="dxa"/>
            <w:shd w:val="clear" w:color="auto" w:fill="BFBFBF" w:themeFill="background1" w:themeFillShade="BF"/>
          </w:tcPr>
          <w:p w:rsidR="004549A7" w:rsidRPr="00D33A0B" w:rsidRDefault="004549A7" w:rsidP="00BA2BC1">
            <w:pPr>
              <w:jc w:val="center"/>
            </w:pPr>
            <w:r w:rsidRPr="00D33A0B">
              <w:t>/</w:t>
            </w:r>
          </w:p>
        </w:tc>
        <w:tc>
          <w:tcPr>
            <w:tcW w:w="1984" w:type="dxa"/>
            <w:shd w:val="clear" w:color="auto" w:fill="BFBFBF" w:themeFill="background1" w:themeFillShade="BF"/>
          </w:tcPr>
          <w:p w:rsidR="004549A7" w:rsidRPr="00D33A0B" w:rsidRDefault="004549A7" w:rsidP="00BA2BC1">
            <w:pPr>
              <w:jc w:val="center"/>
              <w:rPr>
                <w:b/>
              </w:rPr>
            </w:pPr>
            <w:r w:rsidRPr="00D33A0B">
              <w:rPr>
                <w:b/>
              </w:rPr>
              <w:t>39</w:t>
            </w:r>
          </w:p>
        </w:tc>
      </w:tr>
      <w:tr w:rsidR="004549A7" w:rsidRPr="00D33A0B" w:rsidTr="00BA2BC1">
        <w:tc>
          <w:tcPr>
            <w:tcW w:w="2776" w:type="dxa"/>
          </w:tcPr>
          <w:p w:rsidR="004549A7" w:rsidRPr="00D33A0B" w:rsidRDefault="004549A7" w:rsidP="00BA2BC1">
            <w:r w:rsidRPr="00D33A0B">
              <w:t>Broj ležajeva</w:t>
            </w:r>
          </w:p>
        </w:tc>
        <w:tc>
          <w:tcPr>
            <w:tcW w:w="1160" w:type="dxa"/>
          </w:tcPr>
          <w:p w:rsidR="004549A7" w:rsidRPr="00D33A0B" w:rsidRDefault="004549A7" w:rsidP="00BA2BC1">
            <w:pPr>
              <w:jc w:val="center"/>
            </w:pPr>
            <w:r w:rsidRPr="00D33A0B">
              <w:t>12</w:t>
            </w:r>
          </w:p>
        </w:tc>
        <w:tc>
          <w:tcPr>
            <w:tcW w:w="1275" w:type="dxa"/>
          </w:tcPr>
          <w:p w:rsidR="004549A7" w:rsidRPr="00D33A0B" w:rsidRDefault="004549A7" w:rsidP="00BA2BC1">
            <w:pPr>
              <w:jc w:val="center"/>
            </w:pPr>
            <w:r w:rsidRPr="00D33A0B">
              <w:t>45</w:t>
            </w:r>
          </w:p>
        </w:tc>
        <w:tc>
          <w:tcPr>
            <w:tcW w:w="1276" w:type="dxa"/>
          </w:tcPr>
          <w:p w:rsidR="004549A7" w:rsidRPr="00D33A0B" w:rsidRDefault="004549A7" w:rsidP="00BA2BC1">
            <w:pPr>
              <w:jc w:val="center"/>
            </w:pPr>
            <w:r w:rsidRPr="00D33A0B">
              <w:t>33</w:t>
            </w:r>
          </w:p>
        </w:tc>
        <w:tc>
          <w:tcPr>
            <w:tcW w:w="1276" w:type="dxa"/>
          </w:tcPr>
          <w:p w:rsidR="004549A7" w:rsidRPr="00D33A0B" w:rsidRDefault="004549A7" w:rsidP="00BA2BC1">
            <w:pPr>
              <w:jc w:val="center"/>
            </w:pPr>
            <w:r w:rsidRPr="00D33A0B">
              <w:t>/</w:t>
            </w:r>
          </w:p>
        </w:tc>
        <w:tc>
          <w:tcPr>
            <w:tcW w:w="1984" w:type="dxa"/>
          </w:tcPr>
          <w:p w:rsidR="004549A7" w:rsidRPr="00D33A0B" w:rsidRDefault="004549A7" w:rsidP="00BA2BC1">
            <w:pPr>
              <w:jc w:val="center"/>
              <w:rPr>
                <w:b/>
              </w:rPr>
            </w:pPr>
            <w:r w:rsidRPr="00D33A0B">
              <w:rPr>
                <w:b/>
              </w:rPr>
              <w:t>90</w:t>
            </w:r>
          </w:p>
        </w:tc>
      </w:tr>
      <w:tr w:rsidR="004549A7" w:rsidRPr="00D33A0B" w:rsidTr="00BA2BC1">
        <w:tc>
          <w:tcPr>
            <w:tcW w:w="2776" w:type="dxa"/>
            <w:shd w:val="clear" w:color="auto" w:fill="BFBFBF" w:themeFill="background1" w:themeFillShade="BF"/>
          </w:tcPr>
          <w:p w:rsidR="004549A7" w:rsidRPr="00D33A0B" w:rsidRDefault="004549A7" w:rsidP="00BA2BC1">
            <w:pPr>
              <w:rPr>
                <w:b/>
              </w:rPr>
            </w:pPr>
            <w:r w:rsidRPr="00D33A0B">
              <w:rPr>
                <w:b/>
              </w:rPr>
              <w:t>APARTMANI</w:t>
            </w:r>
          </w:p>
        </w:tc>
        <w:tc>
          <w:tcPr>
            <w:tcW w:w="1160" w:type="dxa"/>
            <w:shd w:val="clear" w:color="auto" w:fill="BFBFBF" w:themeFill="background1" w:themeFillShade="BF"/>
          </w:tcPr>
          <w:p w:rsidR="004549A7" w:rsidRPr="00D33A0B" w:rsidRDefault="004549A7" w:rsidP="00BA2BC1">
            <w:pPr>
              <w:jc w:val="center"/>
            </w:pPr>
            <w:r w:rsidRPr="00D33A0B">
              <w:t>39</w:t>
            </w:r>
          </w:p>
        </w:tc>
        <w:tc>
          <w:tcPr>
            <w:tcW w:w="1275" w:type="dxa"/>
            <w:shd w:val="clear" w:color="auto" w:fill="BFBFBF" w:themeFill="background1" w:themeFillShade="BF"/>
          </w:tcPr>
          <w:p w:rsidR="004549A7" w:rsidRPr="00D33A0B" w:rsidRDefault="004549A7" w:rsidP="00BA2BC1">
            <w:pPr>
              <w:jc w:val="center"/>
            </w:pPr>
            <w:r w:rsidRPr="00D33A0B">
              <w:t>31</w:t>
            </w:r>
          </w:p>
        </w:tc>
        <w:tc>
          <w:tcPr>
            <w:tcW w:w="1276" w:type="dxa"/>
            <w:shd w:val="clear" w:color="auto" w:fill="BFBFBF" w:themeFill="background1" w:themeFillShade="BF"/>
          </w:tcPr>
          <w:p w:rsidR="004549A7" w:rsidRPr="00D33A0B" w:rsidRDefault="004549A7" w:rsidP="00BA2BC1">
            <w:pPr>
              <w:jc w:val="center"/>
            </w:pPr>
            <w:r w:rsidRPr="00D33A0B">
              <w:t>20</w:t>
            </w:r>
          </w:p>
        </w:tc>
        <w:tc>
          <w:tcPr>
            <w:tcW w:w="1276" w:type="dxa"/>
            <w:shd w:val="clear" w:color="auto" w:fill="BFBFBF" w:themeFill="background1" w:themeFillShade="BF"/>
          </w:tcPr>
          <w:p w:rsidR="004549A7" w:rsidRPr="00D33A0B" w:rsidRDefault="004549A7" w:rsidP="00BA2BC1">
            <w:pPr>
              <w:jc w:val="center"/>
            </w:pPr>
            <w:r w:rsidRPr="00D33A0B">
              <w:t>/</w:t>
            </w:r>
          </w:p>
        </w:tc>
        <w:tc>
          <w:tcPr>
            <w:tcW w:w="1984" w:type="dxa"/>
            <w:shd w:val="clear" w:color="auto" w:fill="BFBFBF" w:themeFill="background1" w:themeFillShade="BF"/>
          </w:tcPr>
          <w:p w:rsidR="004549A7" w:rsidRPr="00D33A0B" w:rsidRDefault="004549A7" w:rsidP="00BA2BC1">
            <w:pPr>
              <w:jc w:val="center"/>
              <w:rPr>
                <w:b/>
              </w:rPr>
            </w:pPr>
            <w:r w:rsidRPr="00D33A0B">
              <w:rPr>
                <w:b/>
              </w:rPr>
              <w:t>90</w:t>
            </w:r>
          </w:p>
        </w:tc>
      </w:tr>
      <w:tr w:rsidR="004549A7" w:rsidRPr="00D33A0B" w:rsidTr="00BA2BC1">
        <w:tc>
          <w:tcPr>
            <w:tcW w:w="2776" w:type="dxa"/>
          </w:tcPr>
          <w:p w:rsidR="004549A7" w:rsidRPr="00D33A0B" w:rsidRDefault="004549A7" w:rsidP="00BA2BC1">
            <w:r w:rsidRPr="00D33A0B">
              <w:t>Broj ležajeva</w:t>
            </w:r>
          </w:p>
        </w:tc>
        <w:tc>
          <w:tcPr>
            <w:tcW w:w="1160" w:type="dxa"/>
          </w:tcPr>
          <w:p w:rsidR="004549A7" w:rsidRPr="00D33A0B" w:rsidRDefault="004549A7" w:rsidP="00BA2BC1">
            <w:pPr>
              <w:jc w:val="center"/>
            </w:pPr>
            <w:r w:rsidRPr="00D33A0B">
              <w:t>111</w:t>
            </w:r>
          </w:p>
        </w:tc>
        <w:tc>
          <w:tcPr>
            <w:tcW w:w="1275" w:type="dxa"/>
          </w:tcPr>
          <w:p w:rsidR="004549A7" w:rsidRPr="00D33A0B" w:rsidRDefault="004549A7" w:rsidP="00BA2BC1">
            <w:pPr>
              <w:jc w:val="center"/>
            </w:pPr>
            <w:r w:rsidRPr="00D33A0B">
              <w:t>78</w:t>
            </w:r>
          </w:p>
        </w:tc>
        <w:tc>
          <w:tcPr>
            <w:tcW w:w="1276" w:type="dxa"/>
          </w:tcPr>
          <w:p w:rsidR="004549A7" w:rsidRPr="00D33A0B" w:rsidRDefault="004549A7" w:rsidP="00BA2BC1">
            <w:pPr>
              <w:jc w:val="center"/>
            </w:pPr>
            <w:r w:rsidRPr="00D33A0B">
              <w:t>48</w:t>
            </w:r>
          </w:p>
        </w:tc>
        <w:tc>
          <w:tcPr>
            <w:tcW w:w="1276" w:type="dxa"/>
          </w:tcPr>
          <w:p w:rsidR="004549A7" w:rsidRPr="00D33A0B" w:rsidRDefault="004549A7" w:rsidP="00BA2BC1">
            <w:pPr>
              <w:jc w:val="center"/>
            </w:pPr>
            <w:r w:rsidRPr="00D33A0B">
              <w:t>/</w:t>
            </w:r>
          </w:p>
        </w:tc>
        <w:tc>
          <w:tcPr>
            <w:tcW w:w="1984" w:type="dxa"/>
          </w:tcPr>
          <w:p w:rsidR="004549A7" w:rsidRPr="00D33A0B" w:rsidRDefault="004549A7" w:rsidP="00BA2BC1">
            <w:pPr>
              <w:jc w:val="center"/>
              <w:rPr>
                <w:b/>
              </w:rPr>
            </w:pPr>
            <w:r w:rsidRPr="00D33A0B">
              <w:rPr>
                <w:b/>
              </w:rPr>
              <w:t>237</w:t>
            </w:r>
          </w:p>
        </w:tc>
      </w:tr>
      <w:tr w:rsidR="004549A7" w:rsidRPr="00D33A0B" w:rsidTr="00BA2BC1">
        <w:tc>
          <w:tcPr>
            <w:tcW w:w="2776" w:type="dxa"/>
            <w:shd w:val="clear" w:color="auto" w:fill="BFBFBF" w:themeFill="background1" w:themeFillShade="BF"/>
          </w:tcPr>
          <w:p w:rsidR="004549A7" w:rsidRPr="00D33A0B" w:rsidRDefault="004549A7" w:rsidP="00BA2BC1">
            <w:pPr>
              <w:rPr>
                <w:b/>
              </w:rPr>
            </w:pPr>
            <w:r w:rsidRPr="00D33A0B">
              <w:rPr>
                <w:b/>
              </w:rPr>
              <w:t>KUĆA ZA IZNAJMLJIVANJE</w:t>
            </w:r>
          </w:p>
        </w:tc>
        <w:tc>
          <w:tcPr>
            <w:tcW w:w="1160" w:type="dxa"/>
            <w:shd w:val="clear" w:color="auto" w:fill="BFBFBF" w:themeFill="background1" w:themeFillShade="BF"/>
          </w:tcPr>
          <w:p w:rsidR="004549A7" w:rsidRPr="00D33A0B" w:rsidRDefault="004549A7" w:rsidP="00BA2BC1">
            <w:pPr>
              <w:jc w:val="center"/>
            </w:pPr>
            <w:r w:rsidRPr="00D33A0B">
              <w:t>3</w:t>
            </w:r>
          </w:p>
        </w:tc>
        <w:tc>
          <w:tcPr>
            <w:tcW w:w="1275" w:type="dxa"/>
            <w:shd w:val="clear" w:color="auto" w:fill="BFBFBF" w:themeFill="background1" w:themeFillShade="BF"/>
          </w:tcPr>
          <w:p w:rsidR="004549A7" w:rsidRPr="00D33A0B" w:rsidRDefault="004549A7" w:rsidP="00BA2BC1">
            <w:pPr>
              <w:jc w:val="center"/>
            </w:pPr>
            <w:r w:rsidRPr="00D33A0B">
              <w:t>/</w:t>
            </w:r>
          </w:p>
        </w:tc>
        <w:tc>
          <w:tcPr>
            <w:tcW w:w="1276" w:type="dxa"/>
            <w:shd w:val="clear" w:color="auto" w:fill="BFBFBF" w:themeFill="background1" w:themeFillShade="BF"/>
          </w:tcPr>
          <w:p w:rsidR="004549A7" w:rsidRPr="00D33A0B" w:rsidRDefault="004549A7" w:rsidP="00BA2BC1">
            <w:pPr>
              <w:jc w:val="center"/>
            </w:pPr>
            <w:r w:rsidRPr="00D33A0B">
              <w:t>/</w:t>
            </w:r>
          </w:p>
        </w:tc>
        <w:tc>
          <w:tcPr>
            <w:tcW w:w="1276" w:type="dxa"/>
            <w:shd w:val="clear" w:color="auto" w:fill="BFBFBF" w:themeFill="background1" w:themeFillShade="BF"/>
          </w:tcPr>
          <w:p w:rsidR="004549A7" w:rsidRPr="00D33A0B" w:rsidRDefault="004549A7" w:rsidP="00BA2BC1">
            <w:pPr>
              <w:jc w:val="center"/>
            </w:pPr>
            <w:r w:rsidRPr="00D33A0B">
              <w:t>/</w:t>
            </w:r>
          </w:p>
        </w:tc>
        <w:tc>
          <w:tcPr>
            <w:tcW w:w="1984" w:type="dxa"/>
            <w:shd w:val="clear" w:color="auto" w:fill="BFBFBF" w:themeFill="background1" w:themeFillShade="BF"/>
          </w:tcPr>
          <w:p w:rsidR="004549A7" w:rsidRPr="00D33A0B" w:rsidRDefault="004549A7" w:rsidP="00BA2BC1">
            <w:pPr>
              <w:jc w:val="center"/>
              <w:rPr>
                <w:b/>
              </w:rPr>
            </w:pPr>
            <w:r w:rsidRPr="00D33A0B">
              <w:rPr>
                <w:b/>
              </w:rPr>
              <w:t>3</w:t>
            </w:r>
          </w:p>
        </w:tc>
      </w:tr>
      <w:tr w:rsidR="004549A7" w:rsidRPr="00D33A0B" w:rsidTr="00BA2BC1">
        <w:tc>
          <w:tcPr>
            <w:tcW w:w="2776" w:type="dxa"/>
          </w:tcPr>
          <w:p w:rsidR="004549A7" w:rsidRPr="00D33A0B" w:rsidRDefault="004549A7" w:rsidP="00BA2BC1">
            <w:r w:rsidRPr="00D33A0B">
              <w:t>Broj ležajeva</w:t>
            </w:r>
          </w:p>
        </w:tc>
        <w:tc>
          <w:tcPr>
            <w:tcW w:w="1160" w:type="dxa"/>
          </w:tcPr>
          <w:p w:rsidR="004549A7" w:rsidRPr="00D33A0B" w:rsidRDefault="004549A7" w:rsidP="00BA2BC1">
            <w:pPr>
              <w:jc w:val="center"/>
            </w:pPr>
            <w:r w:rsidRPr="00D33A0B">
              <w:t>18</w:t>
            </w:r>
          </w:p>
        </w:tc>
        <w:tc>
          <w:tcPr>
            <w:tcW w:w="1275" w:type="dxa"/>
          </w:tcPr>
          <w:p w:rsidR="004549A7" w:rsidRPr="00D33A0B" w:rsidRDefault="004549A7" w:rsidP="00BA2BC1">
            <w:pPr>
              <w:jc w:val="center"/>
            </w:pPr>
            <w:r w:rsidRPr="00D33A0B">
              <w:t>/</w:t>
            </w:r>
          </w:p>
        </w:tc>
        <w:tc>
          <w:tcPr>
            <w:tcW w:w="1276" w:type="dxa"/>
          </w:tcPr>
          <w:p w:rsidR="004549A7" w:rsidRPr="00D33A0B" w:rsidRDefault="004549A7" w:rsidP="00BA2BC1">
            <w:pPr>
              <w:jc w:val="center"/>
            </w:pPr>
            <w:r w:rsidRPr="00D33A0B">
              <w:t>/</w:t>
            </w:r>
          </w:p>
        </w:tc>
        <w:tc>
          <w:tcPr>
            <w:tcW w:w="1276" w:type="dxa"/>
          </w:tcPr>
          <w:p w:rsidR="004549A7" w:rsidRPr="00D33A0B" w:rsidRDefault="004549A7" w:rsidP="00BA2BC1">
            <w:pPr>
              <w:jc w:val="center"/>
            </w:pPr>
            <w:r w:rsidRPr="00D33A0B">
              <w:t>/</w:t>
            </w:r>
          </w:p>
        </w:tc>
        <w:tc>
          <w:tcPr>
            <w:tcW w:w="1984" w:type="dxa"/>
          </w:tcPr>
          <w:p w:rsidR="004549A7" w:rsidRPr="00D33A0B" w:rsidRDefault="004549A7" w:rsidP="00BA2BC1">
            <w:pPr>
              <w:jc w:val="center"/>
              <w:rPr>
                <w:b/>
              </w:rPr>
            </w:pPr>
            <w:r w:rsidRPr="00D33A0B">
              <w:rPr>
                <w:b/>
              </w:rPr>
              <w:t>18</w:t>
            </w:r>
          </w:p>
        </w:tc>
      </w:tr>
    </w:tbl>
    <w:p w:rsidR="004549A7" w:rsidRPr="00D33A0B" w:rsidRDefault="004549A7" w:rsidP="004549A7"/>
    <w:p w:rsidR="00E5449B" w:rsidRPr="00D33A0B" w:rsidRDefault="00E5449B" w:rsidP="00E5449B">
      <w:pPr>
        <w:jc w:val="both"/>
        <w:rPr>
          <w:lang w:val="sr-Latn-CS"/>
        </w:rPr>
      </w:pPr>
    </w:p>
    <w:p w:rsidR="00E5449B" w:rsidRPr="00D33A0B" w:rsidRDefault="00E5449B" w:rsidP="00E5449B">
      <w:pPr>
        <w:jc w:val="both"/>
        <w:rPr>
          <w:lang w:val="sr-Latn-CS"/>
        </w:rPr>
      </w:pPr>
      <w:r w:rsidRPr="00D33A0B">
        <w:rPr>
          <w:b/>
          <w:lang w:val="sr-Latn-CS"/>
        </w:rPr>
        <w:t>NAPOMENA:</w:t>
      </w:r>
      <w:r w:rsidRPr="00D33A0B">
        <w:rPr>
          <w:lang w:val="sr-Latn-CS"/>
        </w:rPr>
        <w:t xml:space="preserve"> </w:t>
      </w:r>
    </w:p>
    <w:p w:rsidR="00E5449B" w:rsidRPr="00D33A0B" w:rsidRDefault="00E5449B" w:rsidP="00E5449B">
      <w:pPr>
        <w:jc w:val="both"/>
        <w:rPr>
          <w:b/>
          <w:lang w:val="sr-Latn-CS"/>
        </w:rPr>
      </w:pPr>
    </w:p>
    <w:p w:rsidR="00E5449B" w:rsidRPr="00D33A0B" w:rsidRDefault="00E5449B" w:rsidP="00E5449B">
      <w:pPr>
        <w:jc w:val="both"/>
        <w:rPr>
          <w:lang w:val="sr-Latn-CS"/>
        </w:rPr>
      </w:pPr>
      <w:r w:rsidRPr="00D33A0B">
        <w:rPr>
          <w:b/>
          <w:lang w:val="sr-Latn-CS"/>
        </w:rPr>
        <w:t>INFORMACIJA O ODVIJANJU TURISTIČKE SEZONE – LJETO 201</w:t>
      </w:r>
      <w:r w:rsidR="004549A7" w:rsidRPr="00D33A0B">
        <w:rPr>
          <w:b/>
          <w:lang w:val="sr-Latn-CS"/>
        </w:rPr>
        <w:t>6</w:t>
      </w:r>
      <w:r w:rsidRPr="00D33A0B">
        <w:rPr>
          <w:b/>
          <w:lang w:val="sr-Latn-CS"/>
        </w:rPr>
        <w:t>.</w:t>
      </w:r>
      <w:r w:rsidRPr="00D33A0B">
        <w:rPr>
          <w:lang w:val="sr-Latn-CS"/>
        </w:rPr>
        <w:t>, rađena je na osnovu izvještaja dobijenih od navedenih subjekata.</w:t>
      </w:r>
    </w:p>
    <w:p w:rsidR="00E5449B" w:rsidRPr="00D33A0B" w:rsidRDefault="00E5449B" w:rsidP="00E5449B">
      <w:pPr>
        <w:jc w:val="both"/>
        <w:rPr>
          <w:lang w:val="sr-Latn-CS"/>
        </w:rPr>
      </w:pPr>
    </w:p>
    <w:p w:rsidR="00E5449B" w:rsidRPr="00D33A0B" w:rsidRDefault="00E5449B" w:rsidP="00E5449B">
      <w:pPr>
        <w:jc w:val="both"/>
        <w:rPr>
          <w:lang w:val="sr-Latn-CS"/>
        </w:rPr>
      </w:pPr>
    </w:p>
    <w:p w:rsidR="00E5449B" w:rsidRPr="00D33A0B" w:rsidRDefault="00E5449B" w:rsidP="00E5449B">
      <w:pPr>
        <w:jc w:val="both"/>
        <w:rPr>
          <w:lang w:val="sr-Latn-CS"/>
        </w:rPr>
      </w:pPr>
    </w:p>
    <w:p w:rsidR="00E5449B" w:rsidRPr="00D33A0B" w:rsidRDefault="00E5449B" w:rsidP="00E5449B">
      <w:pPr>
        <w:jc w:val="both"/>
        <w:rPr>
          <w:lang w:val="sr-Latn-CS"/>
        </w:rPr>
      </w:pPr>
    </w:p>
    <w:p w:rsidR="00E5449B" w:rsidRPr="00D33A0B" w:rsidRDefault="00E5449B" w:rsidP="007E6C18">
      <w:pPr>
        <w:jc w:val="center"/>
        <w:rPr>
          <w:lang w:val="sr-Latn-CS"/>
        </w:rPr>
      </w:pPr>
      <w:r w:rsidRPr="00D33A0B">
        <w:rPr>
          <w:lang w:val="sr-Latn-CS"/>
        </w:rPr>
        <w:t>Obrada:</w:t>
      </w:r>
    </w:p>
    <w:p w:rsidR="00E5449B" w:rsidRPr="00D33A0B" w:rsidRDefault="00E5449B" w:rsidP="007E6C18">
      <w:pPr>
        <w:jc w:val="center"/>
        <w:rPr>
          <w:lang w:val="sr-Latn-CS"/>
        </w:rPr>
      </w:pPr>
      <w:r w:rsidRPr="00D33A0B">
        <w:rPr>
          <w:lang w:val="sr-Latn-CS"/>
        </w:rPr>
        <w:t>Turistička organizacija Tivat</w:t>
      </w:r>
    </w:p>
    <w:p w:rsidR="00E5449B" w:rsidRPr="00D33A0B" w:rsidRDefault="00E5449B" w:rsidP="00E5449B">
      <w:pPr>
        <w:rPr>
          <w:lang w:val="sr-Latn-CS"/>
        </w:rPr>
      </w:pPr>
    </w:p>
    <w:p w:rsidR="002B4E44" w:rsidRPr="00D33A0B" w:rsidRDefault="002B4E44">
      <w:pPr>
        <w:rPr>
          <w:lang w:val="sr-Latn-CS"/>
        </w:rPr>
      </w:pPr>
    </w:p>
    <w:sectPr w:rsidR="002B4E44" w:rsidRPr="00D33A0B" w:rsidSect="004D1F76">
      <w:headerReference w:type="default" r:id="rId8"/>
      <w:footerReference w:type="even" r:id="rId9"/>
      <w:footerReference w:type="default" r:id="rId10"/>
      <w:footerReference w:type="first" r:id="rId11"/>
      <w:pgSz w:w="11907" w:h="16839" w:code="9"/>
      <w:pgMar w:top="1418" w:right="851" w:bottom="851"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54" w:rsidRDefault="00CF5754" w:rsidP="004E7213">
      <w:r>
        <w:separator/>
      </w:r>
    </w:p>
  </w:endnote>
  <w:endnote w:type="continuationSeparator" w:id="1">
    <w:p w:rsidR="00CF5754" w:rsidRDefault="00CF5754" w:rsidP="004E7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Times New Roma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EB" w:rsidRDefault="00F90225" w:rsidP="004D1F76">
    <w:pPr>
      <w:pStyle w:val="Footer"/>
      <w:framePr w:wrap="around" w:vAnchor="text" w:hAnchor="margin" w:xAlign="right" w:y="1"/>
      <w:rPr>
        <w:rStyle w:val="PageNumber"/>
      </w:rPr>
    </w:pPr>
    <w:r>
      <w:rPr>
        <w:rStyle w:val="PageNumber"/>
      </w:rPr>
      <w:fldChar w:fldCharType="begin"/>
    </w:r>
    <w:r w:rsidR="00C10DEB">
      <w:rPr>
        <w:rStyle w:val="PageNumber"/>
      </w:rPr>
      <w:instrText xml:space="preserve">PAGE  </w:instrText>
    </w:r>
    <w:r>
      <w:rPr>
        <w:rStyle w:val="PageNumber"/>
      </w:rPr>
      <w:fldChar w:fldCharType="end"/>
    </w:r>
  </w:p>
  <w:p w:rsidR="00C10DEB" w:rsidRDefault="00C10DEB" w:rsidP="004D1F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956"/>
      <w:gridCol w:w="6898"/>
    </w:tblGrid>
    <w:tr w:rsidR="00C10DEB" w:rsidTr="004D1F76">
      <w:trPr>
        <w:trHeight w:val="360"/>
      </w:trPr>
      <w:tc>
        <w:tcPr>
          <w:tcW w:w="1500" w:type="pct"/>
          <w:shd w:val="clear" w:color="auto" w:fill="8064A2"/>
        </w:tcPr>
        <w:p w:rsidR="00C10DEB" w:rsidRDefault="00F90225">
          <w:pPr>
            <w:pStyle w:val="Footer"/>
            <w:rPr>
              <w:color w:val="FFFFFF"/>
            </w:rPr>
          </w:pPr>
          <w:fldSimple w:instr=" PAGE   \* MERGEFORMAT ">
            <w:r w:rsidR="00256BB0" w:rsidRPr="00256BB0">
              <w:rPr>
                <w:noProof/>
                <w:color w:val="FFFFFF"/>
              </w:rPr>
              <w:t>5</w:t>
            </w:r>
          </w:fldSimple>
        </w:p>
      </w:tc>
      <w:tc>
        <w:tcPr>
          <w:tcW w:w="3500" w:type="pct"/>
        </w:tcPr>
        <w:p w:rsidR="00C10DEB" w:rsidRPr="005B1300" w:rsidRDefault="00C10DEB">
          <w:pPr>
            <w:pStyle w:val="Footer"/>
            <w:rPr>
              <w:i/>
            </w:rPr>
          </w:pPr>
          <w:r w:rsidRPr="005B1300">
            <w:rPr>
              <w:i/>
            </w:rPr>
            <w:t>Turistička organizacija Tivat</w:t>
          </w:r>
        </w:p>
      </w:tc>
    </w:tr>
  </w:tbl>
  <w:p w:rsidR="00C10DEB" w:rsidRPr="00D16C63" w:rsidRDefault="00C10DEB" w:rsidP="004D1F76">
    <w:pPr>
      <w:pStyle w:val="Header"/>
      <w:pBdr>
        <w:top w:val="single" w:sz="4" w:space="1" w:color="auto"/>
      </w:pBdr>
      <w:ind w:right="360"/>
      <w:rPr>
        <w:i/>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EB" w:rsidRPr="003823BC" w:rsidRDefault="00C10DEB" w:rsidP="004D1F76">
    <w:pPr>
      <w:pStyle w:val="Header"/>
      <w:ind w:right="360"/>
      <w:rPr>
        <w:i/>
        <w:lang w:val="sr-Latn-CS"/>
      </w:rPr>
    </w:pPr>
    <w:r>
      <w:rPr>
        <w:lang w:val="sr-Latn-CS"/>
      </w:rPr>
      <w:tab/>
    </w:r>
    <w:r>
      <w:rPr>
        <w:lang w:val="sr-Latn-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54" w:rsidRDefault="00CF5754" w:rsidP="004E7213">
      <w:r>
        <w:separator/>
      </w:r>
    </w:p>
  </w:footnote>
  <w:footnote w:type="continuationSeparator" w:id="1">
    <w:p w:rsidR="00CF5754" w:rsidRDefault="00CF5754" w:rsidP="004E7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DEB" w:rsidRPr="00CF3755" w:rsidRDefault="00C10DEB" w:rsidP="004D1F76">
    <w:pPr>
      <w:pStyle w:val="Header"/>
      <w:pBdr>
        <w:bottom w:val="single" w:sz="4" w:space="1" w:color="auto"/>
      </w:pBdr>
      <w:rPr>
        <w:i/>
        <w:lang w:val="sr-Latn-CS"/>
      </w:rPr>
    </w:pPr>
    <w:r w:rsidRPr="00CF3755">
      <w:rPr>
        <w:i/>
        <w:lang w:val="sr-Latn-CS"/>
      </w:rPr>
      <w:t xml:space="preserve">Ljeto </w:t>
    </w:r>
    <w:r>
      <w:rPr>
        <w:i/>
        <w:lang w:val="sr-Latn-CS"/>
      </w:rPr>
      <w:t>201</w:t>
    </w:r>
    <w:r w:rsidR="00256BB0">
      <w:rPr>
        <w:i/>
        <w:lang w:val="sr-Latn-CS"/>
      </w:rPr>
      <w:t>6</w:t>
    </w:r>
    <w:r>
      <w:rPr>
        <w:i/>
        <w:lang w:val="sr-Latn-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24"/>
    <w:multiLevelType w:val="hybridMultilevel"/>
    <w:tmpl w:val="CE7C0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94416"/>
    <w:multiLevelType w:val="hybridMultilevel"/>
    <w:tmpl w:val="DD441D42"/>
    <w:lvl w:ilvl="0" w:tplc="FCE21C6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E50156A"/>
    <w:multiLevelType w:val="hybridMultilevel"/>
    <w:tmpl w:val="6F84A0FE"/>
    <w:lvl w:ilvl="0" w:tplc="187C9A6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07C1C"/>
    <w:multiLevelType w:val="hybridMultilevel"/>
    <w:tmpl w:val="145EC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668BE"/>
    <w:multiLevelType w:val="hybridMultilevel"/>
    <w:tmpl w:val="DD4AF516"/>
    <w:lvl w:ilvl="0" w:tplc="8B02444E">
      <w:numFmt w:val="bullet"/>
      <w:lvlText w:val="-"/>
      <w:lvlJc w:val="left"/>
      <w:pPr>
        <w:ind w:left="720" w:hanging="360"/>
      </w:pPr>
      <w:rPr>
        <w:rFonts w:ascii="Calibri" w:eastAsiaTheme="minorHAnsi" w:hAnsi="Calibri"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32186CCB"/>
    <w:multiLevelType w:val="hybridMultilevel"/>
    <w:tmpl w:val="7BBC60A6"/>
    <w:lvl w:ilvl="0" w:tplc="9866137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4E90F52"/>
    <w:multiLevelType w:val="hybridMultilevel"/>
    <w:tmpl w:val="687E2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2F6DB8"/>
    <w:multiLevelType w:val="hybridMultilevel"/>
    <w:tmpl w:val="2C70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D73E57"/>
    <w:multiLevelType w:val="hybridMultilevel"/>
    <w:tmpl w:val="8A100296"/>
    <w:lvl w:ilvl="0" w:tplc="625CF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A2427"/>
    <w:multiLevelType w:val="hybridMultilevel"/>
    <w:tmpl w:val="7F28A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0E751E"/>
    <w:multiLevelType w:val="hybridMultilevel"/>
    <w:tmpl w:val="4EEC3BA4"/>
    <w:lvl w:ilvl="0" w:tplc="71146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640D2"/>
    <w:multiLevelType w:val="hybridMultilevel"/>
    <w:tmpl w:val="88664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120B8C"/>
    <w:multiLevelType w:val="hybridMultilevel"/>
    <w:tmpl w:val="2B640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840584"/>
    <w:multiLevelType w:val="hybridMultilevel"/>
    <w:tmpl w:val="CE7C0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AC1687"/>
    <w:multiLevelType w:val="hybridMultilevel"/>
    <w:tmpl w:val="16C4C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8B66F6"/>
    <w:multiLevelType w:val="hybridMultilevel"/>
    <w:tmpl w:val="53FA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2A0155"/>
    <w:multiLevelType w:val="hybridMultilevel"/>
    <w:tmpl w:val="60ECD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B4ADF"/>
    <w:multiLevelType w:val="hybridMultilevel"/>
    <w:tmpl w:val="17A2E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7653DB"/>
    <w:multiLevelType w:val="hybridMultilevel"/>
    <w:tmpl w:val="5944E16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6CF3043F"/>
    <w:multiLevelType w:val="hybridMultilevel"/>
    <w:tmpl w:val="22D0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52217"/>
    <w:multiLevelType w:val="hybridMultilevel"/>
    <w:tmpl w:val="F794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8"/>
  </w:num>
  <w:num w:numId="5">
    <w:abstractNumId w:val="7"/>
  </w:num>
  <w:num w:numId="6">
    <w:abstractNumId w:val="3"/>
  </w:num>
  <w:num w:numId="7">
    <w:abstractNumId w:val="6"/>
  </w:num>
  <w:num w:numId="8">
    <w:abstractNumId w:val="1"/>
  </w:num>
  <w:num w:numId="9">
    <w:abstractNumId w:val="5"/>
  </w:num>
  <w:num w:numId="10">
    <w:abstractNumId w:val="14"/>
  </w:num>
  <w:num w:numId="11">
    <w:abstractNumId w:val="9"/>
  </w:num>
  <w:num w:numId="12">
    <w:abstractNumId w:val="10"/>
  </w:num>
  <w:num w:numId="13">
    <w:abstractNumId w:val="13"/>
  </w:num>
  <w:num w:numId="14">
    <w:abstractNumId w:val="11"/>
  </w:num>
  <w:num w:numId="15">
    <w:abstractNumId w:val="0"/>
  </w:num>
  <w:num w:numId="16">
    <w:abstractNumId w:val="2"/>
  </w:num>
  <w:num w:numId="17">
    <w:abstractNumId w:val="16"/>
  </w:num>
  <w:num w:numId="18">
    <w:abstractNumId w:val="18"/>
  </w:num>
  <w:num w:numId="19">
    <w:abstractNumId w:val="4"/>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5449B"/>
    <w:rsid w:val="00003625"/>
    <w:rsid w:val="000605CA"/>
    <w:rsid w:val="00060B91"/>
    <w:rsid w:val="00063171"/>
    <w:rsid w:val="00063AF2"/>
    <w:rsid w:val="00066354"/>
    <w:rsid w:val="000E7A2E"/>
    <w:rsid w:val="000F5200"/>
    <w:rsid w:val="00106D9A"/>
    <w:rsid w:val="001401F6"/>
    <w:rsid w:val="0018056D"/>
    <w:rsid w:val="001F05DB"/>
    <w:rsid w:val="00237288"/>
    <w:rsid w:val="00256BB0"/>
    <w:rsid w:val="002708E9"/>
    <w:rsid w:val="002A1B7D"/>
    <w:rsid w:val="002A2E1F"/>
    <w:rsid w:val="002B4E44"/>
    <w:rsid w:val="002D5426"/>
    <w:rsid w:val="00306F21"/>
    <w:rsid w:val="00354A60"/>
    <w:rsid w:val="003B64B5"/>
    <w:rsid w:val="003D326F"/>
    <w:rsid w:val="003D3B12"/>
    <w:rsid w:val="00446EF8"/>
    <w:rsid w:val="004549A7"/>
    <w:rsid w:val="004D1F76"/>
    <w:rsid w:val="004E7213"/>
    <w:rsid w:val="00541853"/>
    <w:rsid w:val="00590D09"/>
    <w:rsid w:val="005927C2"/>
    <w:rsid w:val="005C0750"/>
    <w:rsid w:val="005D6FE4"/>
    <w:rsid w:val="0067676D"/>
    <w:rsid w:val="00786DED"/>
    <w:rsid w:val="00793F2B"/>
    <w:rsid w:val="007A08F2"/>
    <w:rsid w:val="007E6C18"/>
    <w:rsid w:val="00801ACC"/>
    <w:rsid w:val="00890D0D"/>
    <w:rsid w:val="00914F70"/>
    <w:rsid w:val="009364CB"/>
    <w:rsid w:val="00936884"/>
    <w:rsid w:val="00982140"/>
    <w:rsid w:val="00992811"/>
    <w:rsid w:val="009A4923"/>
    <w:rsid w:val="009C0EFC"/>
    <w:rsid w:val="009C36AF"/>
    <w:rsid w:val="009F59FE"/>
    <w:rsid w:val="00A83530"/>
    <w:rsid w:val="00A860DA"/>
    <w:rsid w:val="00AB100A"/>
    <w:rsid w:val="00AD0507"/>
    <w:rsid w:val="00BA2BC1"/>
    <w:rsid w:val="00BC0F47"/>
    <w:rsid w:val="00C0664F"/>
    <w:rsid w:val="00C10DEB"/>
    <w:rsid w:val="00C24C84"/>
    <w:rsid w:val="00CD49B2"/>
    <w:rsid w:val="00CF5754"/>
    <w:rsid w:val="00D00365"/>
    <w:rsid w:val="00D33A0B"/>
    <w:rsid w:val="00D360A2"/>
    <w:rsid w:val="00D4377E"/>
    <w:rsid w:val="00D53C01"/>
    <w:rsid w:val="00D732D7"/>
    <w:rsid w:val="00D9148A"/>
    <w:rsid w:val="00DA00C7"/>
    <w:rsid w:val="00DC5A4F"/>
    <w:rsid w:val="00E40CE9"/>
    <w:rsid w:val="00E425F8"/>
    <w:rsid w:val="00E5449B"/>
    <w:rsid w:val="00E66B2A"/>
    <w:rsid w:val="00E97E36"/>
    <w:rsid w:val="00EA0C98"/>
    <w:rsid w:val="00EC02E8"/>
    <w:rsid w:val="00F90225"/>
    <w:rsid w:val="00FB6FE1"/>
    <w:rsid w:val="00FD227A"/>
    <w:rsid w:val="00FF4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49B"/>
    <w:pPr>
      <w:keepNext/>
      <w:spacing w:before="240" w:after="60"/>
      <w:outlineLvl w:val="0"/>
    </w:pPr>
    <w:rPr>
      <w:rFonts w:ascii="YU Times New Roman" w:hAnsi="YU 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9B"/>
    <w:rPr>
      <w:rFonts w:ascii="YU Times New Roman" w:eastAsia="Times New Roman" w:hAnsi="YU Times New Roman" w:cs="Times New Roman"/>
      <w:b/>
      <w:kern w:val="28"/>
      <w:sz w:val="24"/>
      <w:szCs w:val="20"/>
    </w:rPr>
  </w:style>
  <w:style w:type="character" w:styleId="Hyperlink">
    <w:name w:val="Hyperlink"/>
    <w:basedOn w:val="DefaultParagraphFont"/>
    <w:uiPriority w:val="99"/>
    <w:rsid w:val="00E5449B"/>
    <w:rPr>
      <w:color w:val="0000FF"/>
      <w:u w:val="single"/>
    </w:rPr>
  </w:style>
  <w:style w:type="paragraph" w:styleId="Header">
    <w:name w:val="header"/>
    <w:basedOn w:val="Normal"/>
    <w:link w:val="HeaderChar"/>
    <w:uiPriority w:val="99"/>
    <w:rsid w:val="00E5449B"/>
    <w:pPr>
      <w:tabs>
        <w:tab w:val="center" w:pos="4320"/>
        <w:tab w:val="right" w:pos="8640"/>
      </w:tabs>
    </w:pPr>
  </w:style>
  <w:style w:type="character" w:customStyle="1" w:styleId="HeaderChar">
    <w:name w:val="Header Char"/>
    <w:basedOn w:val="DefaultParagraphFont"/>
    <w:link w:val="Header"/>
    <w:uiPriority w:val="99"/>
    <w:rsid w:val="00E5449B"/>
    <w:rPr>
      <w:rFonts w:ascii="Times New Roman" w:eastAsia="Times New Roman" w:hAnsi="Times New Roman" w:cs="Times New Roman"/>
      <w:sz w:val="24"/>
      <w:szCs w:val="24"/>
    </w:rPr>
  </w:style>
  <w:style w:type="paragraph" w:styleId="Footer">
    <w:name w:val="footer"/>
    <w:basedOn w:val="Normal"/>
    <w:link w:val="FooterChar"/>
    <w:uiPriority w:val="99"/>
    <w:rsid w:val="00E5449B"/>
    <w:pPr>
      <w:tabs>
        <w:tab w:val="center" w:pos="4320"/>
        <w:tab w:val="right" w:pos="8640"/>
      </w:tabs>
    </w:pPr>
  </w:style>
  <w:style w:type="character" w:customStyle="1" w:styleId="FooterChar">
    <w:name w:val="Footer Char"/>
    <w:basedOn w:val="DefaultParagraphFont"/>
    <w:link w:val="Footer"/>
    <w:uiPriority w:val="99"/>
    <w:rsid w:val="00E5449B"/>
    <w:rPr>
      <w:rFonts w:ascii="Times New Roman" w:eastAsia="Times New Roman" w:hAnsi="Times New Roman" w:cs="Times New Roman"/>
      <w:sz w:val="24"/>
      <w:szCs w:val="24"/>
    </w:rPr>
  </w:style>
  <w:style w:type="character" w:styleId="PageNumber">
    <w:name w:val="page number"/>
    <w:basedOn w:val="DefaultParagraphFont"/>
    <w:rsid w:val="00E5449B"/>
  </w:style>
  <w:style w:type="table" w:styleId="TableGrid">
    <w:name w:val="Table Grid"/>
    <w:basedOn w:val="TableNormal"/>
    <w:uiPriority w:val="59"/>
    <w:rsid w:val="00E544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5449B"/>
    <w:rPr>
      <w:b/>
      <w:bCs/>
    </w:rPr>
  </w:style>
  <w:style w:type="paragraph" w:styleId="NoSpacing">
    <w:name w:val="No Spacing"/>
    <w:uiPriority w:val="1"/>
    <w:qFormat/>
    <w:rsid w:val="00E5449B"/>
    <w:pPr>
      <w:spacing w:after="0" w:line="240" w:lineRule="auto"/>
    </w:pPr>
    <w:rPr>
      <w:rFonts w:ascii="Calibri" w:eastAsia="Times New Roman" w:hAnsi="Calibri" w:cs="Times New Roman"/>
    </w:rPr>
  </w:style>
  <w:style w:type="paragraph" w:styleId="ListParagraph">
    <w:name w:val="List Paragraph"/>
    <w:basedOn w:val="Normal"/>
    <w:uiPriority w:val="99"/>
    <w:qFormat/>
    <w:rsid w:val="00E5449B"/>
    <w:pPr>
      <w:ind w:left="720"/>
    </w:pPr>
    <w:rPr>
      <w:rFonts w:ascii="Calibri" w:hAnsi="Calibri"/>
      <w:sz w:val="22"/>
      <w:szCs w:val="22"/>
    </w:rPr>
  </w:style>
  <w:style w:type="paragraph" w:styleId="BodyText">
    <w:name w:val="Body Text"/>
    <w:basedOn w:val="Normal"/>
    <w:link w:val="BodyTextChar"/>
    <w:rsid w:val="00E5449B"/>
    <w:pPr>
      <w:jc w:val="both"/>
    </w:pPr>
    <w:rPr>
      <w:lang w:val="sr-Latn-CS"/>
    </w:rPr>
  </w:style>
  <w:style w:type="character" w:customStyle="1" w:styleId="BodyTextChar">
    <w:name w:val="Body Text Char"/>
    <w:basedOn w:val="DefaultParagraphFont"/>
    <w:link w:val="BodyText"/>
    <w:rsid w:val="00E5449B"/>
    <w:rPr>
      <w:rFonts w:ascii="Times New Roman" w:eastAsia="Times New Roman" w:hAnsi="Times New Roman" w:cs="Times New Roman"/>
      <w:sz w:val="24"/>
      <w:szCs w:val="24"/>
      <w:lang w:val="sr-Latn-CS"/>
    </w:rPr>
  </w:style>
  <w:style w:type="table" w:styleId="TableGrid8">
    <w:name w:val="Table Grid 8"/>
    <w:basedOn w:val="TableNormal"/>
    <w:rsid w:val="00E5449B"/>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Emphasis">
    <w:name w:val="Emphasis"/>
    <w:basedOn w:val="DefaultParagraphFont"/>
    <w:qFormat/>
    <w:rsid w:val="00E5449B"/>
    <w:rPr>
      <w:i/>
      <w:iCs/>
    </w:rPr>
  </w:style>
  <w:style w:type="paragraph" w:styleId="BalloonText">
    <w:name w:val="Balloon Text"/>
    <w:basedOn w:val="Normal"/>
    <w:link w:val="BalloonTextChar"/>
    <w:rsid w:val="00E5449B"/>
    <w:rPr>
      <w:rFonts w:ascii="Tahoma" w:hAnsi="Tahoma" w:cs="Tahoma"/>
      <w:sz w:val="16"/>
      <w:szCs w:val="16"/>
    </w:rPr>
  </w:style>
  <w:style w:type="character" w:customStyle="1" w:styleId="BalloonTextChar">
    <w:name w:val="Balloon Text Char"/>
    <w:basedOn w:val="DefaultParagraphFont"/>
    <w:link w:val="BalloonText"/>
    <w:rsid w:val="00E5449B"/>
    <w:rPr>
      <w:rFonts w:ascii="Tahoma" w:eastAsia="Times New Roman" w:hAnsi="Tahoma" w:cs="Tahoma"/>
      <w:sz w:val="16"/>
      <w:szCs w:val="16"/>
    </w:rPr>
  </w:style>
  <w:style w:type="character" w:customStyle="1" w:styleId="apple-converted-space">
    <w:name w:val="apple-converted-space"/>
    <w:basedOn w:val="DefaultParagraphFont"/>
    <w:rsid w:val="00E97E36"/>
  </w:style>
  <w:style w:type="character" w:styleId="FollowedHyperlink">
    <w:name w:val="FollowedHyperlink"/>
    <w:basedOn w:val="DefaultParagraphFont"/>
    <w:uiPriority w:val="99"/>
    <w:semiHidden/>
    <w:unhideWhenUsed/>
    <w:rsid w:val="00E97E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rskodobro.com/index.php/component/ugovori/ugovori?grad=ti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20</Pages>
  <Words>8257</Words>
  <Characters>47068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2016-10-02T07:49:00Z</cp:lastPrinted>
  <dcterms:created xsi:type="dcterms:W3CDTF">2016-09-13T07:26:00Z</dcterms:created>
  <dcterms:modified xsi:type="dcterms:W3CDTF">2016-10-02T07:52:00Z</dcterms:modified>
</cp:coreProperties>
</file>