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osnovu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člana 8 stav 2 tačka 1 alineja 1 Zakona o boravišnoj taksi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Slu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žbeni list RCG“, broj 11/04 i 13/04 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Slu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žbeni list CG“, broj 73/10 i 48/15), Turistička organizacija Opštine Tivat objavljuje,</w:t>
      </w:r>
    </w:p>
    <w:p>
      <w:pPr>
        <w:spacing w:before="0" w:after="0" w:line="240"/>
        <w:ind w:right="-284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JAVNI POZIV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za 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češće u postupku raspodjele sredstava za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odabir projekata valorizacije kulturne baštine koji se odnose na arheološka istraživanja, konzervatorske i restauratorske radove, rekonstrukciju i promociju kulturnih dobara na teritoriji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Opštine Tivat</w:t>
      </w:r>
    </w:p>
    <w:p>
      <w:pPr>
        <w:spacing w:before="0" w:after="0" w:line="240"/>
        <w:ind w:right="347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47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Član 1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Predmet podr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ške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Predmet Javnog poziva je dodjela finansijskih sredstava koje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će izdvojiti Turistička organizacija Opštine Tivat (dalje: TO Tivat) za pokrivanje dijela troškova, odnosno finansiranje projekata valorizacije kulturne baštine koji se odnose na arheološka istraživanja, konzervatorske i restauratorske radove, rekonstrukciju i promociju kulturnih dobara na teritoriji opštine Tivat (dalje: Javni poziv).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47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Član 2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Ukupan iznos sredstava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Ukupna opredijeljena sredstva iznose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40.394,00€ (iznos sredstava od boravi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šne takse za 2022. godinu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shodno članu 8 stav 2 tačka 1 alineja 1 Zakona o boravišnoj taksi).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Sredstva se dodjeljuju na osnovu Javnog poziva i Zahtjeva za za u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češće u postupku raspodjele sredstava za odabir projekata valorizacije kulturne baštine koji se odnose na arheološka istraživanja, konzervatorske i restauratorske radove, rekonstrukciju i promociju kulturnih dobara na teritoriji Opštine Tivat (dalje: Zahtjev) i druge prateće dokumentacije shodno članu 9. ovog Javnog poziva.  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47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Član 3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Ciljevi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Dodijeljena sredstva namijenjena su projektima koje su nadle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žna stručna i pravna tijela u skladu sa Zakonom o zaštiti kulturnih dobara odobrila kao projekte valorizacije, rekonstrukcije, konzervacije i restauracije te projekte istraživanja, prezentacije i promocije kulturnih dobara na području opštine Tivat.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Projekti treba da doprinesu ja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čanju nedostajućih istraživanja kako materijalne tako nematerijalne baštine Tivta.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Cilj je TO Tivat da radi na razvoju bogate i raznovrsne kulturno-turisti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čke ponude, s čime su u skladu podrška istraživanju, zaštiti, pre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zentaciji tivatske baštine 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promociji kulturnih dobara na području opštine, odnosno ciljevi Javnog poziva.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šku mogu obezbijediti projekti koji ispunjavaju ciljeve: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"/>
        </w:numPr>
        <w:spacing w:before="0" w:after="0" w:line="240"/>
        <w:ind w:right="0" w:left="144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Istra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živanja, zaštite i mogućnosti kvalitetne prezentacije kulturne baštine na teritoriji opštine Tivat.</w:t>
      </w:r>
    </w:p>
    <w:p>
      <w:pPr>
        <w:numPr>
          <w:ilvl w:val="0"/>
          <w:numId w:val="12"/>
        </w:numPr>
        <w:spacing w:before="0" w:after="0" w:line="240"/>
        <w:ind w:right="0" w:left="144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Oboga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ćuju kulturnu ponudu Opštine, odnosno promovišu prepoznata i potencijalna kulturna dobra na njenoj teritoriji.</w:t>
      </w:r>
    </w:p>
    <w:p>
      <w:pPr>
        <w:numPr>
          <w:ilvl w:val="0"/>
          <w:numId w:val="12"/>
        </w:numPr>
        <w:spacing w:before="0" w:after="0" w:line="240"/>
        <w:ind w:right="0" w:left="144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Unapre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đuju kulturni turizam, odnosno obogaćuju turistički proizvod Tivta.</w:t>
      </w:r>
    </w:p>
    <w:p>
      <w:pPr>
        <w:numPr>
          <w:ilvl w:val="0"/>
          <w:numId w:val="12"/>
        </w:numPr>
        <w:spacing w:before="0" w:after="0" w:line="240"/>
        <w:ind w:right="0" w:left="144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Doprinose imid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žu Tivta kao destinaciji prepoznatljivog, raznovrsnog i bogatog kulturno-istorijskog nasljeđa.</w:t>
      </w:r>
    </w:p>
    <w:p>
      <w:pPr>
        <w:numPr>
          <w:ilvl w:val="0"/>
          <w:numId w:val="12"/>
        </w:numPr>
        <w:spacing w:before="0" w:after="0" w:line="240"/>
        <w:ind w:right="0" w:left="144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Razvijaju sadr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žaj koji može produžiti trajanje turističke sezone.</w:t>
      </w:r>
    </w:p>
    <w:p>
      <w:pPr>
        <w:numPr>
          <w:ilvl w:val="0"/>
          <w:numId w:val="12"/>
        </w:numPr>
        <w:spacing w:before="0" w:after="0" w:line="240"/>
        <w:ind w:right="0" w:left="144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Nude programe obuke turisti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čkih radnika u oblasti poznavanja kulturnih dobara na području opštine Tivat.</w:t>
      </w:r>
    </w:p>
    <w:p>
      <w:pPr>
        <w:numPr>
          <w:ilvl w:val="0"/>
          <w:numId w:val="12"/>
        </w:numPr>
        <w:spacing w:before="0" w:after="0" w:line="240"/>
        <w:ind w:right="0" w:left="144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Nude planove za ture i obuku vodi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ča za teritoriju opštine Tivat koje osvjetljuju manje poznate segmenate kulturne baštine Tivta, odnosno tivatskog kulturnog pejzaža.</w:t>
      </w:r>
    </w:p>
    <w:p>
      <w:pPr>
        <w:numPr>
          <w:ilvl w:val="0"/>
          <w:numId w:val="12"/>
        </w:numPr>
        <w:spacing w:before="0" w:after="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žavaju obnovu starih zanata koji doprinose razvoju ruralnog i drugih vidova turizma.</w:t>
      </w:r>
    </w:p>
    <w:p>
      <w:pPr>
        <w:spacing w:before="0" w:after="0" w:line="240"/>
        <w:ind w:right="0" w:left="108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Budu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ći da je područje opštine Tivat kulturno-istorijski neodvojivo od svog okruženja, biće podržani i projekti za koje je opravdano da uključe i teritoriju susjednih opština, odnosno, za koje može biti važan takav kontekst, dok implementacija projekta mora biti vezana uz opštinu Tivat.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47" w:left="72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Član 4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Korisnici 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Pravo podno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šenja zahtjeva po Javnom pozivu imaju: </w:t>
      </w:r>
    </w:p>
    <w:p>
      <w:pPr>
        <w:widowControl w:val="false"/>
        <w:numPr>
          <w:ilvl w:val="0"/>
          <w:numId w:val="2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javne ustanove 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za za</w:t>
      </w:r>
      <w:r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  <w:t xml:space="preserve">štitu kulturnih dobara koju je osnovala država ili opština za obavljanje konzervatorske, muzejske, bibliotečke, arhivske ili kinotečke djelatnosti;</w:t>
      </w:r>
    </w:p>
    <w:p>
      <w:pPr>
        <w:widowControl w:val="false"/>
        <w:numPr>
          <w:ilvl w:val="0"/>
          <w:numId w:val="2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nevladine organizacije, druge asocijacije i udru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ženja; </w:t>
      </w:r>
    </w:p>
    <w:p>
      <w:pPr>
        <w:widowControl w:val="false"/>
        <w:numPr>
          <w:ilvl w:val="0"/>
          <w:numId w:val="20"/>
        </w:numPr>
        <w:spacing w:before="0" w:after="68" w:line="240"/>
        <w:ind w:right="0" w:left="720" w:hanging="360"/>
        <w:jc w:val="both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pravna i fizi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čka lica shodno Zakonu o zaštiti kulturnih dobara.</w:t>
      </w:r>
    </w:p>
    <w:p>
      <w:pPr>
        <w:widowControl w:val="false"/>
        <w:spacing w:before="0" w:after="68" w:line="240"/>
        <w:ind w:right="0" w:left="36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Podnosilac zahtjeva mora biti registrovan u Crnoj Gori.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Sredstva za podr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šku realizaciji projekta se mogu dodijeliti i aplikantima sa sjedištem izvan tivatske opštine, samo u slučaju ako je implementacija projekta vezana za tivatsku opštinu.</w:t>
      </w:r>
    </w:p>
    <w:p>
      <w:pPr>
        <w:widowControl w:val="false"/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Podnosilac zahtjeva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 aplicirati samo sa jednim projektom. </w:t>
      </w:r>
    </w:p>
    <w:p>
      <w:pPr>
        <w:widowControl w:val="false"/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Broj projekata, kao i iznosi odobrene podr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ške, zavise od raspoloživog budžeta kao i od broja i kvaliteta pristiglih prijava. </w:t>
      </w:r>
    </w:p>
    <w:p>
      <w:pPr>
        <w:widowControl w:val="false"/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Javni poziv ne mogu se prijaviti subjekti koji jo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 uvijek nijesu realizovali projekte kojima je odobrena porška u okviru ranijih Javnih poziva.</w:t>
      </w:r>
    </w:p>
    <w:p>
      <w:pPr>
        <w:widowControl w:val="false"/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47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Član 5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Sredstva se mogu koristiti za: 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29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finansiranje projekata koji ispunjavaju ciljeve navedene u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članu 3</w:t>
      </w:r>
    </w:p>
    <w:p>
      <w:pPr>
        <w:widowControl w:val="false"/>
        <w:numPr>
          <w:ilvl w:val="0"/>
          <w:numId w:val="29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izradu promotivnih bro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šura ili štampanog materijala koji doprinosi realizaciji projekta</w:t>
      </w:r>
    </w:p>
    <w:p>
      <w:pPr>
        <w:widowControl w:val="false"/>
        <w:numPr>
          <w:ilvl w:val="0"/>
          <w:numId w:val="29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nabavku radnog/potro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šnog materijala vezanog za realizaciju projekta</w:t>
      </w:r>
    </w:p>
    <w:p>
      <w:pPr>
        <w:widowControl w:val="false"/>
        <w:numPr>
          <w:ilvl w:val="0"/>
          <w:numId w:val="29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izradu digitalnih alata ili platormi potrebnih za realizaciju projekta </w:t>
      </w:r>
    </w:p>
    <w:p>
      <w:pPr>
        <w:widowControl w:val="false"/>
        <w:numPr>
          <w:ilvl w:val="0"/>
          <w:numId w:val="29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druge potrebe u svrhu realizacije projekta</w:t>
      </w:r>
    </w:p>
    <w:p>
      <w:pPr>
        <w:widowControl w:val="false"/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47" w:left="72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Član 6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Sredstva se ne mogu koristiti za: </w:t>
      </w:r>
    </w:p>
    <w:p>
      <w:pPr>
        <w:widowControl w:val="false"/>
        <w:numPr>
          <w:ilvl w:val="0"/>
          <w:numId w:val="34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kupovinu nekretnina (objekata i zemlji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šta), te prevoznih sredstava, </w:t>
      </w:r>
    </w:p>
    <w:p>
      <w:pPr>
        <w:widowControl w:val="false"/>
        <w:numPr>
          <w:ilvl w:val="0"/>
          <w:numId w:val="34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tro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škove redovnog poslovanja realizatora projekta (troškove prevoza i putovanja zaposlenih, studijska putovanja, za pokriće gubitaka, poreze i doprinose, kamate na kredite, carinske i uvozne takse ili bilo koje druge naknade), </w:t>
      </w:r>
    </w:p>
    <w:p>
      <w:pPr>
        <w:widowControl w:val="false"/>
        <w:numPr>
          <w:ilvl w:val="0"/>
          <w:numId w:val="34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izradu promotivnih i informativnih materijala nevezanih uz projekat (Internet stranice, prospekti, karte, CD, DVD, filmovi i dr.), </w:t>
      </w:r>
    </w:p>
    <w:p>
      <w:pPr>
        <w:widowControl w:val="false"/>
        <w:numPr>
          <w:ilvl w:val="0"/>
          <w:numId w:val="34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sve druge tro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škove koji nisu vezani za realizaciju projekta.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47" w:left="72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Član 7</w:t>
      </w:r>
    </w:p>
    <w:p>
      <w:pPr>
        <w:spacing w:before="0" w:after="0" w:line="240"/>
        <w:ind w:right="347" w:left="72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Honorari</w:t>
      </w:r>
    </w:p>
    <w:p>
      <w:pPr>
        <w:spacing w:before="0" w:after="0" w:line="240"/>
        <w:ind w:right="347" w:left="72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Dodijeljena sredstva mogu pokrivati honorare u iznosu od maksimalno 30% redovnih prihoda stru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čnih lica-izvođača projekta, a u slučaju da za sredstva</w:t>
      </w:r>
      <w:r>
        <w:rPr>
          <w:rFonts w:ascii="Calibri" w:hAnsi="Calibri" w:cs="Calibri" w:eastAsia="Calibri"/>
          <w:color w:val="8E7CC3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aplicira javna ustanova čiji zaposlenici već primaju platu za zadatke definisane projektom, isti ne mogu aplicirati za honorare.</w:t>
      </w:r>
    </w:p>
    <w:p>
      <w:pPr>
        <w:spacing w:before="0" w:after="0" w:line="240"/>
        <w:ind w:right="347" w:left="72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47" w:left="7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Dodijeljena sredstva mogu pokriti honorare u iznosu od maksimalno 30% redovnih primanja lica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čiji je rad vezan uz organizacije definisane Čl. 4, stav b) ovoga konkursa.</w:t>
        <w:br/>
      </w:r>
    </w:p>
    <w:p>
      <w:pPr>
        <w:spacing w:before="0" w:after="0" w:line="240"/>
        <w:ind w:right="347" w:left="7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47" w:left="7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Komisija zadr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žava pravo na izuzetke, u posebnim slučajevima (saradnja sa nezaposlenim licima, saradnja s licima drugih organizacija i ustanova čiji rad na projektu nije vezan uz redovno zaposlenje, lica koja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shd w:fill="auto" w:val="clear"/>
        </w:rPr>
        <w:t xml:space="preserve">ne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primaju platu u okviru udruženja koje aplicira za projekat i slično). </w:t>
      </w:r>
    </w:p>
    <w:p>
      <w:pPr>
        <w:spacing w:before="0" w:after="0" w:line="240"/>
        <w:ind w:right="347" w:left="7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U slu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čaju izuzetaka, može biti zatražena dodatna dokumentacija kojom se dokazuje opravdanost takvog slučaja.</w:t>
      </w:r>
    </w:p>
    <w:p>
      <w:pPr>
        <w:spacing w:before="0" w:after="0" w:line="240"/>
        <w:ind w:right="347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47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47" w:left="72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Član 8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Iznos podr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ške i prihvatljivost troškova </w:t>
      </w:r>
    </w:p>
    <w:p>
      <w:pPr>
        <w:widowControl w:val="false"/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Najve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ći iznos sredstava koji se može odobriti je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 85% opravdanih/prihvatljivih troškova, dok je maksimalan iznos podrške 15.000,00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€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. Predlog Odluke o iznosu podr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ške za svaki pojedinačan projekat donosi Komisija za odabir projekata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valorizacije kulturne baštine, koji se odnose na arheološka istraživanja, konzervatorske i restauratorske radove, rekonstrukciju i promociju kulturnih dobara (dalje: Komisija), a Odluku donosi direktor TO Tivat.</w:t>
      </w:r>
    </w:p>
    <w:p>
      <w:pPr>
        <w:spacing w:before="0" w:after="0" w:line="240"/>
        <w:ind w:right="347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47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Član 9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Potrebna dokumentacija: 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49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opunjen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Obrazac Zahtjev 2023.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_Prilog I (naziv projekta, osnovni podaci o podnosiocu projekta, podaci o projektu, potrebna sredstava za realizaciju projekta);</w:t>
      </w:r>
    </w:p>
    <w:p>
      <w:pPr>
        <w:widowControl w:val="false"/>
        <w:numPr>
          <w:ilvl w:val="0"/>
          <w:numId w:val="49"/>
        </w:numPr>
        <w:spacing w:before="0" w:after="68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popunjeni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Obrazac bud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žet 202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3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._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Prilog II (podaci koji se odnose na planirane prihode i rashode po stavkama);</w:t>
      </w:r>
    </w:p>
    <w:p>
      <w:pPr>
        <w:widowControl w:val="false"/>
        <w:numPr>
          <w:ilvl w:val="0"/>
          <w:numId w:val="49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Ovjerena fotokopija Statuta javne ustanove i/ili pravnog lica; </w:t>
      </w:r>
    </w:p>
    <w:p>
      <w:pPr>
        <w:widowControl w:val="false"/>
        <w:numPr>
          <w:ilvl w:val="0"/>
          <w:numId w:val="49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Biografija podnosioca prijave, kao i biografija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članova projektnog tima;</w:t>
      </w:r>
    </w:p>
    <w:p>
      <w:pPr>
        <w:widowControl w:val="false"/>
        <w:numPr>
          <w:ilvl w:val="0"/>
          <w:numId w:val="49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Ovjerena fotokopija dokaza o registraciji (pravnom statusu podnosioca zahtjeva);</w:t>
      </w:r>
    </w:p>
    <w:p>
      <w:pPr>
        <w:widowControl w:val="false"/>
        <w:numPr>
          <w:ilvl w:val="0"/>
          <w:numId w:val="49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Korisnici shodno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Čl. 4 Stav c) ovjerena fotokopija dokaza da je lice vlasnik, držalac ili staralac kulturnog dobra.</w:t>
      </w:r>
    </w:p>
    <w:p>
      <w:pPr>
        <w:widowControl w:val="false"/>
        <w:numPr>
          <w:ilvl w:val="0"/>
          <w:numId w:val="49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Potvrdu nadle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žne Poreske uprave o nepostojanju duga organizatora prema državi (ne stariju od 30 dana od dana slanja Zahtjeva);</w:t>
      </w:r>
    </w:p>
    <w:p>
      <w:pPr>
        <w:widowControl w:val="false"/>
        <w:numPr>
          <w:ilvl w:val="0"/>
          <w:numId w:val="49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Godi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šnji Finansijski izvještaj, bilansi stanja i uspjeha ovjeren od strane knjigovodtsvene-računovodstvene agencije;</w:t>
      </w:r>
    </w:p>
    <w:p>
      <w:pPr>
        <w:widowControl w:val="false"/>
        <w:numPr>
          <w:ilvl w:val="0"/>
          <w:numId w:val="49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Spisak prethodno realizovanih projekata podnosioca zahtjeva odnosno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članova projektnog tima u okviru Javnih poziva za učešće u postupku raspodjele sredstava za odabir projekata valorizacije kulturne baštine koji se odnose na arheološka istraživanja, konzervatorske i restauratorske radove, rekonstrukciju i promociju kulturnih dobara na teritoriji Opštine Tivat.</w:t>
      </w:r>
    </w:p>
    <w:p>
      <w:pPr>
        <w:widowControl w:val="false"/>
        <w:numPr>
          <w:ilvl w:val="0"/>
          <w:numId w:val="49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Ovjerena izjava podnosioca zahtjeva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da nema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vostrukog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finansiranja u cjelokupnom finansijskom iznosu, odnosno da se isti projekat ve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ć ne finansira u potpunosti iz sredstava budžeta Crne Gore, opština i/ili drugih subjekata;</w:t>
      </w:r>
    </w:p>
    <w:p>
      <w:pPr>
        <w:widowControl w:val="false"/>
        <w:numPr>
          <w:ilvl w:val="0"/>
          <w:numId w:val="49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Licence, ukoliko se aplikant javlja za projekte koji uklju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čuju aktivnosti za koje je to zakonom predviđeno;</w:t>
      </w:r>
    </w:p>
    <w:p>
      <w:pPr>
        <w:widowControl w:val="false"/>
        <w:numPr>
          <w:ilvl w:val="0"/>
          <w:numId w:val="49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Odobreni konzervatorski projekat za konzervatorski i restauratorske radove, valorizaciju i rekonstrukciju kulturnih dobara. </w:t>
      </w:r>
    </w:p>
    <w:p>
      <w:pPr>
        <w:widowControl w:val="false"/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Komisija zadr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žava pravo od podnosioca zahtjeva da zatraži dodatna pojašnjenja i dokumentaciju.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47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Član 10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Kriterijumi za ocjenu Zahtjeva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Selekcija i ocjena Zahtjeva za dodjelu sredstava za realizaciju projekta vr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ši se prema sljedećim kriterijumima: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>
        <w:tblInd w:w="360" w:type="dxa"/>
      </w:tblPr>
      <w:tblGrid>
        <w:gridCol w:w="805"/>
        <w:gridCol w:w="5188"/>
        <w:gridCol w:w="2997"/>
      </w:tblGrid>
      <w:tr>
        <w:trPr>
          <w:trHeight w:val="1" w:hRule="atLeast"/>
          <w:jc w:val="left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Redni broj</w:t>
            </w:r>
          </w:p>
        </w:tc>
        <w:tc>
          <w:tcPr>
            <w:tcW w:w="5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                        Kriterijumi </w:t>
            </w:r>
          </w:p>
        </w:tc>
        <w:tc>
          <w:tcPr>
            <w:tcW w:w="2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Broj bodova</w:t>
              <w:br/>
              <w:t xml:space="preserve">Max 100 bodova </w:t>
            </w:r>
          </w:p>
        </w:tc>
      </w:tr>
      <w:tr>
        <w:trPr>
          <w:trHeight w:val="1" w:hRule="atLeast"/>
          <w:jc w:val="left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5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Zna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čaj projekta za ostvarivanje ciljeva navedenih u članu 3.</w:t>
            </w:r>
          </w:p>
        </w:tc>
        <w:tc>
          <w:tcPr>
            <w:tcW w:w="2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Do 60</w:t>
            </w:r>
          </w:p>
        </w:tc>
      </w:tr>
      <w:tr>
        <w:trPr>
          <w:trHeight w:val="1" w:hRule="atLeast"/>
          <w:jc w:val="left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5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Biografije korisnika - realizovani projekti podnosioca zahtjeva odnosno projektnog tima iz oblasti koja je predmet ovog Javnog poziva </w:t>
            </w:r>
          </w:p>
        </w:tc>
        <w:tc>
          <w:tcPr>
            <w:tcW w:w="2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Do 20</w:t>
            </w:r>
          </w:p>
        </w:tc>
      </w:tr>
      <w:tr>
        <w:trPr>
          <w:trHeight w:val="1" w:hRule="atLeast"/>
          <w:jc w:val="left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51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Izvodljivost - Uskla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đenost projektnog dokumenta sa dinamičkim planom i budžetom i metodologija monitoringa projekta</w:t>
            </w:r>
          </w:p>
        </w:tc>
        <w:tc>
          <w:tcPr>
            <w:tcW w:w="2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Do 20</w:t>
            </w:r>
          </w:p>
        </w:tc>
      </w:tr>
    </w:tbl>
    <w:p>
      <w:pPr>
        <w:spacing w:before="0" w:after="0" w:line="240"/>
        <w:ind w:right="347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47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47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47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47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Član 11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Objava Javnog poziva </w:t>
      </w:r>
    </w:p>
    <w:p>
      <w:pPr>
        <w:widowControl w:val="false"/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Javni poziv objavljuje se na Internet stranici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www.tivat.travel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Javni poziv je otvoren 30 dana od dana objavljivanja.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47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Član 12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Zahtjevi koji se ne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će razmatrati: </w:t>
      </w:r>
    </w:p>
    <w:p>
      <w:pPr>
        <w:widowControl w:val="false"/>
        <w:numPr>
          <w:ilvl w:val="0"/>
          <w:numId w:val="77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zahtjevi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čija dokumentacija nije kompletna, </w:t>
      </w:r>
    </w:p>
    <w:p>
      <w:pPr>
        <w:widowControl w:val="false"/>
        <w:numPr>
          <w:ilvl w:val="0"/>
          <w:numId w:val="77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zahtjevi sa nepotpuno ispunjenim Zahtjevom 2023,</w:t>
      </w:r>
    </w:p>
    <w:p>
      <w:pPr>
        <w:widowControl w:val="false"/>
        <w:numPr>
          <w:ilvl w:val="0"/>
          <w:numId w:val="77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zahtjevi koje dostave subjekti koji ne pripadaju definisanim kategorijama,</w:t>
      </w:r>
    </w:p>
    <w:p>
      <w:pPr>
        <w:widowControl w:val="false"/>
        <w:numPr>
          <w:ilvl w:val="0"/>
          <w:numId w:val="77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zahtjevi koje podnesu subjekti koji su prethodnih godina dobili sredstva od TOT, a nijesu izvr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šili ugovorne obaveze ili su nenamjenski utrošili dobijena sredstva,</w:t>
      </w:r>
    </w:p>
    <w:p>
      <w:pPr>
        <w:widowControl w:val="false"/>
        <w:numPr>
          <w:ilvl w:val="0"/>
          <w:numId w:val="77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Zahtjevi koji se odnose na projekte koji nijesu predmet ovog Poziva.</w:t>
      </w:r>
    </w:p>
    <w:p>
      <w:pPr>
        <w:widowControl w:val="false"/>
        <w:spacing w:before="0" w:after="71" w:line="240"/>
        <w:ind w:right="0" w:left="7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47" w:left="72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Član 13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Na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čin podnošenja zahtjeva i dokumentacije 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Cjelokupna dokumentacija iz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člana 9 ovog Javnog poziva podnosi se Turističkoj organizaciji opštine Tivat, i to u roku od 30 dana od dana objave Javnog poziva na Internet stranici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www.tivat.travel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widowControl w:val="false"/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Zahtjev sa prate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ćom dokumentacijom se dostavlja na adresu: Turistička organizacija Opštine Tivat, ul. Palih boraca 19, 85320 Tivat, na arhivi sa oznakom: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Zahtjeva za za u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češće u postupku raspodjele sredstava za odabir projekata valorizacije kulturne baštine koji se odnose na arheološka istraživanja, konzervatorske i restauratorske radove, rekonstrukciju i promociju kulturnih dobara na teritoriji Opštine Tivat“.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Nakon zavr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šenog javnog poziva dokumentacija se ne vraća.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347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47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Član 14</w:t>
      </w:r>
    </w:p>
    <w:p>
      <w:pPr>
        <w:spacing w:before="0" w:after="0" w:line="276"/>
        <w:ind w:right="347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Postupak dodjele sredstava</w:t>
      </w:r>
    </w:p>
    <w:p>
      <w:pPr>
        <w:widowControl w:val="false"/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Nakon zavr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šenog Javnog konkursa Komisija će razmotriti pristigle zahtjeve. Komisija će, u skladu sa Poslovnikom, pružiti savjetodavnu i stručnu podršku u roku trajanja Konkursa i donositi odluke u skladu s njime, uključujući eventualnu Odluku o produženom roku prijave.</w:t>
      </w:r>
    </w:p>
    <w:p>
      <w:pPr>
        <w:widowControl w:val="false"/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C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Popis projekata sa iznosom dodijeljenih sredstava bi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će objavljen na web stranici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www.tivat.travel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i to 21 dan od dana zavr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šetka Konkursa, odnosno produženog roka za prijavu, tj. dopunu dokumentacije.  </w:t>
      </w:r>
    </w:p>
    <w:p>
      <w:pPr>
        <w:spacing w:before="0" w:after="0" w:line="240"/>
        <w:ind w:right="347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47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Član 15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Rok za potpisivanje ugovora 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će sa Korisnikom potpisati ugovor nakon donošenja Odluke o dodjeli sredstava. Ugovorom se bliže uređuju međusobna prava i obaveze između TO Tivat i Korisnika: način korištenja podrške, način praćenja realizacije projekta, isplata podrške, nadzor namjenskog korištenja podrške i druga pitanja vezana za realizaciju projekta. Podnosilac projekta je isključivo odgovoran za izvršenje cjelokupnog projekta kao i prema trećim stranama, uključujući odgovornost za nastale štete ili povrede bilo koje vrste tokom sprovođenja ili usljed posljedica realizacije projekta.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47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Član 16</w:t>
      </w:r>
    </w:p>
    <w:p>
      <w:pPr>
        <w:spacing w:before="0" w:after="0" w:line="240"/>
        <w:ind w:right="347" w:left="0" w:firstLine="72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Na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čin isplate podrške</w:t>
      </w:r>
    </w:p>
    <w:p>
      <w:pPr>
        <w:widowControl w:val="false"/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Odobrena sredstva podr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ške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u iznosu od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70% sredstava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mogu biti uplaćena nakon potpisivanja Ugovora, do jedan mjesec prije početka, a ostatak od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30%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nakon realizacije projekta i po prijemu potrebne vjerodostojne dokumentacije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(izvještaj o realizaciji projekta, finansijskog izvještaja i dokaza o namjenskom trošenju odobrenih sredstava, kao i dokaza o trošenju preostalih sredstava koje je obezbijedio korisnik i /ili drugi donator, utrošenim sredstvima podrške po vrstama, foto i/ili druga dokumentacija kojom se dokazuje realizacija projekta, računi izvođača/dobavljača i dokazi/dokumenti kojima se dokazuje realizacija projekta). </w:t>
      </w:r>
    </w:p>
    <w:p>
      <w:pPr>
        <w:widowControl w:val="false"/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Rok za dostavu vjerodostojne dokumentacije (projekat i ostali dokazi), a za isplatu odobrenih sredstava je 30 dana po zavr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šetku projekta. Naručilac zadržava pravo da prekine finansiranje na osnovu negativnog mišljenja Komisije. 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47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47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Član 17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Nadzor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Komisija imenovana od strane Skup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štine Opštine Tivat obavlja nadzor nad namjenskim korišćenjem odobrenih sredstava putem pisanog izvještaja sa pratećom dokumentacijom (dokazima o korišćenju sredstava) koje korisnik sredstava u ugovorenom roku dostavlja TO Tivat. 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Po potrebi, obavlja se i dodatni nadzor uvidom u dokumentaciju kod korisnika sredstava. 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U slu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čaju utvrđivanja objektivnih okolnosti koje su uticale na nemogućnost ispunjenja obaveza koje su utvrđene Ugovorom, korisnik sredstava je dužan odmah o tome obavijestiti TO Tivat pisanim putem. 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U slu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čaju utvrđivanja nepravilnosti u korišćenju odobrenih sredstava, direktor Stručne službe TO Tivat donijeće Odluku o povratu sredstava, a korisnik je dužan vratiti ista u roku od 15 dana od prijema odluke. 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47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Član 18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Obaveze korisnika su da:</w:t>
      </w:r>
    </w:p>
    <w:p>
      <w:pPr>
        <w:widowControl w:val="false"/>
        <w:numPr>
          <w:ilvl w:val="0"/>
          <w:numId w:val="104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Potpi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 Ugovor </w:t>
      </w:r>
    </w:p>
    <w:p>
      <w:pPr>
        <w:widowControl w:val="false"/>
        <w:numPr>
          <w:ilvl w:val="0"/>
          <w:numId w:val="104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Sredstva iskoristi namjenski </w:t>
      </w:r>
    </w:p>
    <w:p>
      <w:pPr>
        <w:widowControl w:val="false"/>
        <w:numPr>
          <w:ilvl w:val="0"/>
          <w:numId w:val="104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 realizaciji projekta koristi logo TO Tivat i isti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 podršku TO Tivat u realizaciji projekta</w:t>
      </w:r>
    </w:p>
    <w:p>
      <w:pPr>
        <w:widowControl w:val="false"/>
        <w:numPr>
          <w:ilvl w:val="0"/>
          <w:numId w:val="104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Turisti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čkoj organizaciji Tivat dostavi finansijski izvještaj o korišćenju sredstava (svih utrošenih sredstava uključujući sredstva uložena od strane korisnika i drugih partnera) sa pratećom dokumentacijom koja potvrđuje navode u izvještaju (kopije računa i ugovora za troškove, fotografije izvršenih radova i drugu dokumentaciju shodno ugovoru) </w:t>
      </w:r>
    </w:p>
    <w:p>
      <w:pPr>
        <w:widowControl w:val="false"/>
        <w:numPr>
          <w:ilvl w:val="0"/>
          <w:numId w:val="104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Dostavi Turisti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čkoj organizaciji Tivat izvještaj o realizaciji projekta (ostvareni rezultati, press clipping, fotografije, ciljevi  i sl.) </w:t>
      </w:r>
    </w:p>
    <w:p>
      <w:pPr>
        <w:widowControl w:val="false"/>
        <w:numPr>
          <w:ilvl w:val="0"/>
          <w:numId w:val="104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zahtjev TO Tivat pru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ži na uvid i dodatnu naknadno traženu dokumentaciju </w:t>
      </w:r>
    </w:p>
    <w:p>
      <w:pPr>
        <w:widowControl w:val="false"/>
        <w:numPr>
          <w:ilvl w:val="0"/>
          <w:numId w:val="104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Realizuje i eventualne druge obaveze definisane ugovorom. 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donesene odluke na osnovu Javnog poziva podnosilac ima pravo za podno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šenje prigovora Komisiji za odabir projekata valorizacije kulturne baštine koji se odnose na arheološka istraživanja, konzervatorske i restauratorske radove, rekonstrukciju i promociju kulturnih dobara u roku od 7 dana od dana donošenja Odluke.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Odluka Komisije po prigovoru je kona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čna.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Rok za podno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šenje prijava/zahtjeva je 30 dana od dana objave Javnog poziva.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Rok za realizaciju projekta 1. maj 2024. godine. Rok za podno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šenje dokumentacije po završenom projektu 20.maj 2024.godine.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124" w:firstLine="707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Prilog 1_Zahtjev 2023.</w:t>
      </w:r>
    </w:p>
    <w:p>
      <w:pPr>
        <w:spacing w:before="0" w:after="0" w:line="240"/>
        <w:ind w:right="0" w:left="1416" w:firstLine="707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16" w:firstLine="707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 A H T J E V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za 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češće u postupku raspodjele sredstava za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odabir projekata valorizacije kulturne baštine koji se odnose na arheološka istraživanja, konzervatorske i restauratorske radove, rekonstrukciju i promociju kulturnih dobara na teritoriji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Opštine Tivat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360" w:type="dxa"/>
      </w:tblPr>
      <w:tblGrid>
        <w:gridCol w:w="3434"/>
        <w:gridCol w:w="5494"/>
      </w:tblGrid>
      <w:tr>
        <w:trPr>
          <w:trHeight w:val="554" w:hRule="auto"/>
          <w:jc w:val="left"/>
        </w:trPr>
        <w:tc>
          <w:tcPr>
            <w:tcW w:w="892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Osnovni podaci o podnosiocu projekta</w:t>
            </w:r>
          </w:p>
        </w:tc>
      </w:tr>
      <w:tr>
        <w:trPr>
          <w:trHeight w:val="1" w:hRule="atLeast"/>
          <w:jc w:val="left"/>
        </w:trPr>
        <w:tc>
          <w:tcPr>
            <w:tcW w:w="3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Podnosilac projekta</w:t>
            </w:r>
          </w:p>
        </w:tc>
        <w:tc>
          <w:tcPr>
            <w:tcW w:w="5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Kategorija podnosioca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21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javne ustanove za za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štitu kulturnih dobara</w:t>
            </w:r>
          </w:p>
          <w:p>
            <w:pPr>
              <w:widowControl w:val="false"/>
              <w:numPr>
                <w:ilvl w:val="0"/>
                <w:numId w:val="121"/>
              </w:numPr>
              <w:spacing w:before="0" w:after="68" w:line="240"/>
              <w:ind w:right="0" w:left="720" w:hanging="36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nevladine organizacije, druge asocijacije i udru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ženja</w:t>
            </w:r>
          </w:p>
          <w:p>
            <w:pPr>
              <w:widowControl w:val="false"/>
              <w:numPr>
                <w:ilvl w:val="0"/>
                <w:numId w:val="121"/>
              </w:numPr>
              <w:spacing w:before="0" w:after="68" w:line="240"/>
              <w:ind w:right="0" w:left="720" w:hanging="36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pravna i fizi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čka lica shodno Zakonu o zaštiti kulturnih dobara. </w:t>
            </w:r>
          </w:p>
        </w:tc>
      </w:tr>
      <w:tr>
        <w:trPr>
          <w:trHeight w:val="1" w:hRule="atLeast"/>
          <w:jc w:val="left"/>
        </w:trPr>
        <w:tc>
          <w:tcPr>
            <w:tcW w:w="3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Adresa/sjedi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šte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Telefon/telefaks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E-mail i internet adresa </w:t>
            </w:r>
          </w:p>
        </w:tc>
        <w:tc>
          <w:tcPr>
            <w:tcW w:w="5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PIB i mati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čni broj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Odgovorna osoba za realizaciju projekta (ime, prezime, funkcija)</w:t>
            </w:r>
          </w:p>
        </w:tc>
        <w:tc>
          <w:tcPr>
            <w:tcW w:w="5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Osoba za kontakt (ime, prezime, funkcija, br. Telefona)</w:t>
            </w:r>
          </w:p>
        </w:tc>
        <w:tc>
          <w:tcPr>
            <w:tcW w:w="5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Poslovna banka podnosioca projekta</w:t>
            </w:r>
          </w:p>
        </w:tc>
        <w:tc>
          <w:tcPr>
            <w:tcW w:w="5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Broj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žiro računa podnosioca projekta</w:t>
            </w:r>
          </w:p>
        </w:tc>
        <w:tc>
          <w:tcPr>
            <w:tcW w:w="5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Najzna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čajniji projekti podnosioca zahtjeva realizovani u prethodne tri godine</w:t>
            </w:r>
          </w:p>
        </w:tc>
        <w:tc>
          <w:tcPr>
            <w:tcW w:w="5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Ukoliko postoji partnerstvo navesti podatke/detalje o partneru</w:t>
            </w:r>
          </w:p>
        </w:tc>
        <w:tc>
          <w:tcPr>
            <w:tcW w:w="5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360" w:type="dxa"/>
      </w:tblPr>
      <w:tblGrid>
        <w:gridCol w:w="2335"/>
        <w:gridCol w:w="6655"/>
      </w:tblGrid>
      <w:tr>
        <w:trPr>
          <w:trHeight w:val="543" w:hRule="auto"/>
          <w:jc w:val="left"/>
        </w:trPr>
        <w:tc>
          <w:tcPr>
            <w:tcW w:w="89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Podaci o projektu</w:t>
            </w:r>
          </w:p>
        </w:tc>
      </w:tr>
      <w:tr>
        <w:trPr>
          <w:trHeight w:val="1187" w:hRule="auto"/>
          <w:jc w:val="left"/>
        </w:trPr>
        <w:tc>
          <w:tcPr>
            <w:tcW w:w="2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Naziv projekta</w:t>
            </w:r>
          </w:p>
        </w:tc>
        <w:tc>
          <w:tcPr>
            <w:tcW w:w="6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016" w:hRule="auto"/>
          <w:jc w:val="left"/>
        </w:trPr>
        <w:tc>
          <w:tcPr>
            <w:tcW w:w="2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Termin i mjesto realizacije projekta</w:t>
            </w:r>
          </w:p>
        </w:tc>
        <w:tc>
          <w:tcPr>
            <w:tcW w:w="6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Sadr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žaj / opis projekta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(forma, ideja i koncept projekta, fokus i/ili tema)</w:t>
            </w:r>
          </w:p>
        </w:tc>
        <w:tc>
          <w:tcPr>
            <w:tcW w:w="6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Cilj projekta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Projektne aktivnosti i kalendar realizacije (navedite sve planirane aktivnosti, vremenski okvir realizacije, plan medijske prezentacije)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Molimo da imate na umu da ovaj period treba da obuhvati i vrijeme potrebno za pripremu aktivnosti, kao i za izvje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štavanje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tbl>
            <w:tblPr/>
            <w:tblGrid>
              <w:gridCol w:w="1128"/>
              <w:gridCol w:w="863"/>
              <w:gridCol w:w="863"/>
              <w:gridCol w:w="863"/>
              <w:gridCol w:w="863"/>
              <w:gridCol w:w="863"/>
              <w:gridCol w:w="863"/>
            </w:tblGrid>
            <w:tr>
              <w:trPr>
                <w:trHeight w:val="1" w:hRule="atLeast"/>
                <w:jc w:val="left"/>
              </w:trPr>
              <w:tc>
                <w:tcPr>
                  <w:tcW w:w="112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5178" w:type="dxa"/>
                  <w:gridSpan w:val="6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Mjeseci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12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1</w:t>
                  </w: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2</w:t>
                  </w: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3</w:t>
                  </w: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4</w:t>
                  </w: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5</w:t>
                  </w: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6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12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Aktivnost 1</w:t>
                  </w: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12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Aktivnost 2</w:t>
                  </w: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12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Aktivnost 3</w:t>
                  </w: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12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Aktivnost 4</w:t>
                  </w: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12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Aktivnost 5</w:t>
                  </w: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12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Aktivnost 6</w:t>
                  </w: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12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Aktivnost 7</w:t>
                  </w: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12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Aktivnost 8</w:t>
                  </w: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12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16"/>
                      <w:shd w:fill="auto" w:val="clear"/>
                    </w:rPr>
                    <w:t xml:space="preserve">Aktivnost 9</w:t>
                  </w: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12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12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12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6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14" w:type="dxa"/>
                    <w:right w:w="114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Ciljne grupe kojima je projekat namijenjen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čekivani rezultati projekta</w:t>
            </w:r>
          </w:p>
        </w:tc>
        <w:tc>
          <w:tcPr>
            <w:tcW w:w="6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Vidljivost rezultata projekta i medijska pokrivenost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6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</w:pPr>
    </w:p>
    <w:tbl>
      <w:tblPr>
        <w:tblInd w:w="360" w:type="dxa"/>
      </w:tblPr>
      <w:tblGrid>
        <w:gridCol w:w="3576"/>
        <w:gridCol w:w="5352"/>
      </w:tblGrid>
      <w:tr>
        <w:trPr>
          <w:trHeight w:val="480" w:hRule="auto"/>
          <w:jc w:val="left"/>
        </w:trPr>
        <w:tc>
          <w:tcPr>
            <w:tcW w:w="892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Potrebna sredstva za realizaciju projekta/ izvori finansiranja projekta u 2023. - iznos u €</w:t>
            </w:r>
          </w:p>
        </w:tc>
      </w:tr>
      <w:tr>
        <w:trPr>
          <w:trHeight w:val="1" w:hRule="atLeast"/>
          <w:jc w:val="left"/>
        </w:trPr>
        <w:tc>
          <w:tcPr>
            <w:tcW w:w="3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Ukupan iznos potrebnih sredstava za realizaciju projekta u €</w:t>
            </w:r>
          </w:p>
        </w:tc>
        <w:tc>
          <w:tcPr>
            <w:tcW w:w="53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Vlastita sredstva realizatora projekta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3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čestvovanje drugih subjekata javnog i/ili privatnog sektora (navesti izvore i iznose)</w:t>
            </w:r>
          </w:p>
        </w:tc>
        <w:tc>
          <w:tcPr>
            <w:tcW w:w="53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Tra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ženi iznos podrške od TOT-a</w:t>
            </w:r>
          </w:p>
        </w:tc>
        <w:tc>
          <w:tcPr>
            <w:tcW w:w="53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360" w:type="dxa"/>
      </w:tblPr>
      <w:tblGrid>
        <w:gridCol w:w="4464"/>
        <w:gridCol w:w="4464"/>
      </w:tblGrid>
      <w:tr>
        <w:trPr>
          <w:trHeight w:val="1" w:hRule="atLeast"/>
          <w:jc w:val="left"/>
        </w:trPr>
        <w:tc>
          <w:tcPr>
            <w:tcW w:w="892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NAPOMENA: Uz ovaj Zahtjev potrebno je prilo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žiti i ostalu cjelokupnu dokumentaciju navedenu u Javnom pozivu.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Mjesto i datum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čat i potpis odgovorne osobe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Prilog II_Obrazac TPR 2023.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FF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TRO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ŠKOVNIK PLANIRANIH PRIHODA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 RASHODA REALIZACIJE PROJEKTA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912"/>
        <w:gridCol w:w="4756"/>
      </w:tblGrid>
      <w:tr>
        <w:trPr>
          <w:trHeight w:val="567" w:hRule="auto"/>
          <w:jc w:val="left"/>
        </w:trPr>
        <w:tc>
          <w:tcPr>
            <w:tcW w:w="4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Naziv podnosioca: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4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Naziv projekta: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4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Ime i prezime odgovorne osobe: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4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Adresa, telefon, e-mail: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Realizator projekta popunjava tablicu bud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žeta (troškovi i prihodi) shodno individualnim potrebama u skladu sa članovima 5, 6, 7 ovog Javnog poziva. 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810"/>
        <w:gridCol w:w="4050"/>
        <w:gridCol w:w="1350"/>
        <w:gridCol w:w="1620"/>
        <w:gridCol w:w="1890"/>
      </w:tblGrid>
      <w:tr>
        <w:trPr>
          <w:trHeight w:val="300" w:hRule="auto"/>
          <w:jc w:val="left"/>
        </w:trPr>
        <w:tc>
          <w:tcPr>
            <w:tcW w:w="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5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Opis tro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škova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Koli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čina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Vrijednost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Ukupno €</w:t>
            </w:r>
          </w:p>
        </w:tc>
      </w:tr>
      <w:tr>
        <w:trPr>
          <w:trHeight w:val="300" w:hRule="auto"/>
          <w:jc w:val="left"/>
        </w:trPr>
        <w:tc>
          <w:tcPr>
            <w:tcW w:w="81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0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81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0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81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0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81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40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26"/>
        <w:gridCol w:w="6096"/>
        <w:gridCol w:w="3084"/>
      </w:tblGrid>
      <w:tr>
        <w:trPr>
          <w:trHeight w:val="567" w:hRule="auto"/>
          <w:jc w:val="left"/>
        </w:trPr>
        <w:tc>
          <w:tcPr>
            <w:tcW w:w="652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Opis prihoda</w:t>
            </w:r>
          </w:p>
        </w:tc>
        <w:tc>
          <w:tcPr>
            <w:tcW w:w="3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Planirani iznos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6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6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6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UKUPNO planirani prihodi</w:t>
            </w:r>
          </w:p>
        </w:tc>
        <w:tc>
          <w:tcPr>
            <w:tcW w:w="3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206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Molimo da navedete sopstvene resurse koje ste spremni da unesete u implementaciju projekta (prostorije, oprema, potro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šni materijal, ljudski resursi) i druge izvore finansiranja. 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Mjesto i datum</w:t>
        <w:tab/>
        <w:t xml:space="preserve">                                                          Ime i prezime i potpis odgovorne osobe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 xml:space="preserve">         (pe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čat)</w:t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567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12">
    <w:abstractNumId w:val="42"/>
  </w:num>
  <w:num w:numId="20">
    <w:abstractNumId w:val="36"/>
  </w:num>
  <w:num w:numId="29">
    <w:abstractNumId w:val="30"/>
  </w:num>
  <w:num w:numId="34">
    <w:abstractNumId w:val="24"/>
  </w:num>
  <w:num w:numId="49">
    <w:abstractNumId w:val="18"/>
  </w:num>
  <w:num w:numId="77">
    <w:abstractNumId w:val="12"/>
  </w:num>
  <w:num w:numId="104">
    <w:abstractNumId w:val="6"/>
  </w:num>
  <w:num w:numId="12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tivat.travel/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://www.tivat.travel/" Id="docRId0" Type="http://schemas.openxmlformats.org/officeDocument/2006/relationships/hyperlink" /><Relationship TargetMode="External" Target="http://www.tivat.travel/" Id="docRId2" Type="http://schemas.openxmlformats.org/officeDocument/2006/relationships/hyperlink" /><Relationship Target="styles.xml" Id="docRId4" Type="http://schemas.openxmlformats.org/officeDocument/2006/relationships/styles" /></Relationships>
</file>